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BD70" w14:textId="77777777" w:rsidR="00A11899" w:rsidRDefault="002D3FFE">
      <w:pPr>
        <w:pStyle w:val="Heading1"/>
        <w:tabs>
          <w:tab w:val="right" w:pos="9360"/>
        </w:tabs>
        <w:spacing w:before="60" w:line="240" w:lineRule="auto"/>
        <w:rPr>
          <w:sz w:val="30"/>
          <w:szCs w:val="30"/>
        </w:rPr>
      </w:pPr>
      <w:bookmarkStart w:id="0" w:name="_f9cbqc43w19s" w:colFirst="0" w:colLast="0"/>
      <w:bookmarkEnd w:id="0"/>
      <w:r>
        <w:rPr>
          <w:sz w:val="30"/>
          <w:szCs w:val="30"/>
        </w:rPr>
        <w:t xml:space="preserve">S5 Table. </w:t>
      </w:r>
      <w:hyperlink r:id="rId5" w:anchor="heading=h.vasco6t8bzuk">
        <w:r>
          <w:rPr>
            <w:sz w:val="30"/>
            <w:szCs w:val="30"/>
          </w:rPr>
          <w:t>Record of excluded articles</w:t>
        </w:r>
      </w:hyperlink>
      <w:r>
        <w:rPr>
          <w:sz w:val="30"/>
          <w:szCs w:val="30"/>
        </w:rPr>
        <w:tab/>
      </w:r>
    </w:p>
    <w:p w14:paraId="232D55CB" w14:textId="77777777" w:rsidR="00A11899" w:rsidRDefault="00A11899">
      <w:pPr>
        <w:rPr>
          <w:sz w:val="20"/>
          <w:szCs w:val="20"/>
        </w:rPr>
      </w:pPr>
    </w:p>
    <w:tbl>
      <w:tblPr>
        <w:tblStyle w:val="a"/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6285"/>
        <w:gridCol w:w="2460"/>
      </w:tblGrid>
      <w:tr w:rsidR="00A11899" w14:paraId="7A258A76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1A00" w14:textId="77777777" w:rsidR="00A11899" w:rsidRDefault="002D3FFE">
            <w:pPr>
              <w:pStyle w:val="Heading2"/>
              <w:widowControl w:val="0"/>
              <w:spacing w:line="240" w:lineRule="auto"/>
              <w:rPr>
                <w:sz w:val="26"/>
                <w:szCs w:val="26"/>
              </w:rPr>
            </w:pPr>
            <w:bookmarkStart w:id="1" w:name="_89ubsiliapag" w:colFirst="0" w:colLast="0"/>
            <w:bookmarkEnd w:id="1"/>
            <w:r>
              <w:rPr>
                <w:sz w:val="26"/>
                <w:szCs w:val="26"/>
              </w:rPr>
              <w:t>Type of record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2FE4" w14:textId="77777777" w:rsidR="00A11899" w:rsidRDefault="002D3FFE">
            <w:pPr>
              <w:pStyle w:val="Heading2"/>
              <w:widowControl w:val="0"/>
              <w:spacing w:line="240" w:lineRule="auto"/>
              <w:rPr>
                <w:sz w:val="28"/>
                <w:szCs w:val="28"/>
              </w:rPr>
            </w:pPr>
            <w:bookmarkStart w:id="2" w:name="_q572pul9etm0" w:colFirst="0" w:colLast="0"/>
            <w:bookmarkEnd w:id="2"/>
            <w:r>
              <w:rPr>
                <w:sz w:val="28"/>
                <w:szCs w:val="28"/>
              </w:rPr>
              <w:t>References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1904" w14:textId="77777777" w:rsidR="00A11899" w:rsidRDefault="002D3FFE">
            <w:pPr>
              <w:pStyle w:val="Heading2"/>
              <w:widowControl w:val="0"/>
              <w:spacing w:line="240" w:lineRule="auto"/>
              <w:rPr>
                <w:sz w:val="26"/>
                <w:szCs w:val="26"/>
              </w:rPr>
            </w:pPr>
            <w:bookmarkStart w:id="3" w:name="_uqzsqtkf8mpg" w:colFirst="0" w:colLast="0"/>
            <w:bookmarkEnd w:id="3"/>
            <w:r>
              <w:rPr>
                <w:sz w:val="26"/>
                <w:szCs w:val="26"/>
              </w:rPr>
              <w:t>Reason for exclusion</w:t>
            </w:r>
          </w:p>
        </w:tc>
      </w:tr>
      <w:tr w:rsidR="00A11899" w14:paraId="582D9085" w14:textId="77777777">
        <w:trPr>
          <w:trHeight w:val="400"/>
        </w:trPr>
        <w:tc>
          <w:tcPr>
            <w:tcW w:w="114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D32C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Records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EDAB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Jayakumar M, </w:t>
            </w:r>
            <w:proofErr w:type="spellStart"/>
            <w:r>
              <w:rPr>
                <w:sz w:val="20"/>
                <w:szCs w:val="20"/>
                <w:highlight w:val="white"/>
              </w:rPr>
              <w:t>Prabahar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MR, </w:t>
            </w:r>
            <w:r>
              <w:rPr>
                <w:sz w:val="20"/>
                <w:szCs w:val="20"/>
                <w:highlight w:val="white"/>
              </w:rPr>
              <w:t xml:space="preserve">Fernando EM, </w:t>
            </w:r>
            <w:proofErr w:type="spellStart"/>
            <w:r>
              <w:rPr>
                <w:sz w:val="20"/>
                <w:szCs w:val="20"/>
                <w:highlight w:val="white"/>
              </w:rPr>
              <w:t>Manorajan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R, Venkatraman R, </w:t>
            </w:r>
            <w:proofErr w:type="spellStart"/>
            <w:r>
              <w:rPr>
                <w:sz w:val="20"/>
                <w:szCs w:val="20"/>
                <w:highlight w:val="white"/>
              </w:rPr>
              <w:t>Balaraman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V. Epidemiologic trend changes in acute renal failure--a tertiary center experience from South India. Ren Fail. 2006;28(5):405-10. </w:t>
            </w:r>
            <w:proofErr w:type="spellStart"/>
            <w:r>
              <w:rPr>
                <w:sz w:val="20"/>
                <w:szCs w:val="20"/>
                <w:highlight w:val="white"/>
              </w:rPr>
              <w:t>doi</w:t>
            </w:r>
            <w:proofErr w:type="spellEnd"/>
            <w:r>
              <w:rPr>
                <w:sz w:val="20"/>
                <w:szCs w:val="20"/>
                <w:highlight w:val="white"/>
              </w:rPr>
              <w:t>: 10.1080/08860220600689034. PMID: 16825090.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72D1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 leptospirosis in pregn</w:t>
            </w:r>
            <w:r>
              <w:rPr>
                <w:sz w:val="20"/>
                <w:szCs w:val="20"/>
              </w:rPr>
              <w:t>ancy</w:t>
            </w:r>
          </w:p>
        </w:tc>
      </w:tr>
      <w:tr w:rsidR="00A11899" w14:paraId="1F528BE3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1AED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E36C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Leptospirosis following heavy rains in 2017 in Mumbai: Report of large-scale community chemoprophylaxis. Supe </w:t>
            </w:r>
            <w:proofErr w:type="spellStart"/>
            <w:r>
              <w:rPr>
                <w:sz w:val="20"/>
                <w:szCs w:val="20"/>
                <w:highlight w:val="white"/>
              </w:rPr>
              <w:t>Avinash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sz w:val="20"/>
                <w:szCs w:val="20"/>
                <w:highlight w:val="white"/>
              </w:rPr>
              <w:t>Khetarpal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Mini, Naik </w:t>
            </w:r>
            <w:proofErr w:type="spellStart"/>
            <w:r>
              <w:rPr>
                <w:sz w:val="20"/>
                <w:szCs w:val="20"/>
                <w:highlight w:val="white"/>
              </w:rPr>
              <w:t>Shantaram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sz w:val="20"/>
                <w:szCs w:val="20"/>
                <w:highlight w:val="white"/>
              </w:rPr>
              <w:t>Keskar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Padmaja. </w:t>
            </w:r>
            <w:proofErr w:type="gramStart"/>
            <w:r>
              <w:rPr>
                <w:sz w:val="20"/>
                <w:szCs w:val="20"/>
                <w:highlight w:val="white"/>
              </w:rPr>
              <w:t>Year :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2018 | Volume:  31 | Issue Number:  1 | Page: 19-21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5A3C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 leptospirosis in pregnancy</w:t>
            </w:r>
          </w:p>
        </w:tc>
      </w:tr>
      <w:tr w:rsidR="00A11899" w14:paraId="7CD07ED7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4002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5D93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Centers for Disease Control and Prevention (CDC). Brief report: Leptospirosis after flooding of a university campus--Hawaii, 2004. MMWR </w:t>
            </w:r>
            <w:proofErr w:type="spellStart"/>
            <w:r>
              <w:rPr>
                <w:sz w:val="20"/>
                <w:szCs w:val="20"/>
                <w:highlight w:val="white"/>
              </w:rPr>
              <w:t>Morb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Mortal </w:t>
            </w:r>
            <w:proofErr w:type="spellStart"/>
            <w:r>
              <w:rPr>
                <w:sz w:val="20"/>
                <w:szCs w:val="20"/>
                <w:highlight w:val="white"/>
              </w:rPr>
              <w:t>Wkly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Rep. 2006 Feb 10;55(5):125-7. PMID: 16467778.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A9DD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 leptospirosis in pregnancy</w:t>
            </w:r>
          </w:p>
        </w:tc>
      </w:tr>
      <w:tr w:rsidR="00A11899" w14:paraId="36A2C9DF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EC19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6DCD" w14:textId="77777777" w:rsidR="00A11899" w:rsidRDefault="002D3FFE">
            <w:pPr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Fiecek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B, </w:t>
            </w:r>
            <w:proofErr w:type="spellStart"/>
            <w:r>
              <w:rPr>
                <w:sz w:val="20"/>
                <w:szCs w:val="20"/>
                <w:highlight w:val="white"/>
              </w:rPr>
              <w:t>Lewandowska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G,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Rogulska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U, Chmielewski T. Leptospirosis in Poland in the years 2014-2017 – characteristics of infections and epidemiological surveillance data. </w:t>
            </w:r>
            <w:proofErr w:type="spellStart"/>
            <w:r>
              <w:rPr>
                <w:sz w:val="20"/>
                <w:szCs w:val="20"/>
                <w:highlight w:val="white"/>
              </w:rPr>
              <w:t>Przegl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Epidemiol. 2018;72(3):303-312. </w:t>
            </w:r>
            <w:proofErr w:type="spellStart"/>
            <w:r>
              <w:rPr>
                <w:sz w:val="20"/>
                <w:szCs w:val="20"/>
                <w:highlight w:val="white"/>
              </w:rPr>
              <w:t>doi</w:t>
            </w:r>
            <w:proofErr w:type="spellEnd"/>
            <w:r>
              <w:rPr>
                <w:sz w:val="20"/>
                <w:szCs w:val="20"/>
                <w:highlight w:val="white"/>
              </w:rPr>
              <w:t>: 10.32394/pe.72.3.7. PMID: 30394053.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0879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leptospirosis in pregnancy</w:t>
            </w:r>
          </w:p>
        </w:tc>
      </w:tr>
      <w:tr w:rsidR="00A11899" w14:paraId="4F144692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4788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E5E0" w14:textId="77777777" w:rsidR="00A11899" w:rsidRDefault="002D3FFE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Murphy JF, O'Driscoll K. Therapeutic abortion: the medical argument. </w:t>
            </w:r>
            <w:proofErr w:type="spellStart"/>
            <w:r>
              <w:rPr>
                <w:sz w:val="20"/>
                <w:szCs w:val="20"/>
                <w:highlight w:val="white"/>
              </w:rPr>
              <w:t>Ir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Med J. 1982 Aug;75(8):304-6. PMID: 7129852.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A86E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 leptospirosis in pregnancy</w:t>
            </w:r>
          </w:p>
        </w:tc>
      </w:tr>
      <w:tr w:rsidR="00A11899" w14:paraId="330D91AC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3B3C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51B9" w14:textId="77777777" w:rsidR="00A11899" w:rsidRDefault="002D3FFE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Hudemann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H, Maas G. </w:t>
            </w:r>
            <w:proofErr w:type="spellStart"/>
            <w:r>
              <w:rPr>
                <w:sz w:val="20"/>
                <w:szCs w:val="20"/>
                <w:highlight w:val="white"/>
              </w:rPr>
              <w:t>Epidemiologische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Untersuchungen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auf </w:t>
            </w:r>
            <w:proofErr w:type="spellStart"/>
            <w:r>
              <w:rPr>
                <w:sz w:val="20"/>
                <w:szCs w:val="20"/>
                <w:highlight w:val="white"/>
              </w:rPr>
              <w:t>Leptospirose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und </w:t>
            </w:r>
            <w:proofErr w:type="spellStart"/>
            <w:r>
              <w:rPr>
                <w:sz w:val="20"/>
                <w:szCs w:val="20"/>
                <w:highlight w:val="white"/>
              </w:rPr>
              <w:t>Listeriose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in </w:t>
            </w:r>
            <w:proofErr w:type="spellStart"/>
            <w:r>
              <w:rPr>
                <w:sz w:val="20"/>
                <w:szCs w:val="20"/>
                <w:highlight w:val="white"/>
              </w:rPr>
              <w:t>einem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landwirtschaftlich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strukturierten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Kreis [Epidemiologic studies of leptospirosis and listeriosis in an agricultural region]. </w:t>
            </w:r>
            <w:proofErr w:type="spellStart"/>
            <w:r>
              <w:rPr>
                <w:sz w:val="20"/>
                <w:szCs w:val="20"/>
                <w:highlight w:val="white"/>
              </w:rPr>
              <w:t>Dtsch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Gesundheitsw</w:t>
            </w:r>
            <w:proofErr w:type="spellEnd"/>
            <w:r>
              <w:rPr>
                <w:sz w:val="20"/>
                <w:szCs w:val="20"/>
                <w:highlight w:val="white"/>
              </w:rPr>
              <w:t>. 1970 Feb 27;25(8):3</w:t>
            </w:r>
            <w:r>
              <w:rPr>
                <w:sz w:val="20"/>
                <w:szCs w:val="20"/>
                <w:highlight w:val="white"/>
              </w:rPr>
              <w:t>62-5. German. PMID: 5535633.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19BF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 leptospirosis in pregnancy</w:t>
            </w:r>
          </w:p>
        </w:tc>
      </w:tr>
      <w:tr w:rsidR="00A11899" w14:paraId="47C5752C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52CB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1161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Karnad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DR, Richards GA, Silva GS, Amin P; Council of the World Federation of Societies of Intensive and Critical Care Medicine. Tropical diseases in the ICU: A syndromic approach to diagnosis an</w:t>
            </w:r>
            <w:r>
              <w:rPr>
                <w:sz w:val="20"/>
                <w:szCs w:val="20"/>
                <w:highlight w:val="white"/>
              </w:rPr>
              <w:t xml:space="preserve">d treatment. J Crit Care. 2018 </w:t>
            </w:r>
            <w:proofErr w:type="gramStart"/>
            <w:r>
              <w:rPr>
                <w:sz w:val="20"/>
                <w:szCs w:val="20"/>
                <w:highlight w:val="white"/>
              </w:rPr>
              <w:t>Aug;46:119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-126. </w:t>
            </w:r>
            <w:proofErr w:type="spellStart"/>
            <w:r>
              <w:rPr>
                <w:sz w:val="20"/>
                <w:szCs w:val="20"/>
                <w:highlight w:val="white"/>
              </w:rPr>
              <w:t>doi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: 10.1016/j.jcrc.2018.03.025. </w:t>
            </w:r>
            <w:proofErr w:type="spellStart"/>
            <w:r>
              <w:rPr>
                <w:sz w:val="20"/>
                <w:szCs w:val="20"/>
                <w:highlight w:val="white"/>
              </w:rPr>
              <w:t>Epub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2018 Mar 27. PMID: 29625787.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BC0F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leptospirosis in pregnancy</w:t>
            </w:r>
          </w:p>
        </w:tc>
      </w:tr>
      <w:tr w:rsidR="00A11899" w14:paraId="63013048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FE36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46AB" w14:textId="77777777" w:rsidR="00A11899" w:rsidRDefault="002D3FFE">
            <w:pPr>
              <w:pStyle w:val="Heading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0" w:after="0" w:line="294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de Silva K, Jayaweera BA. Leptospiral problems in pregnancy. Ceylon Med J. 1970 Jun;15(2):96-103. PMID: 5494247.</w:t>
            </w:r>
          </w:p>
        </w:tc>
        <w:tc>
          <w:tcPr>
            <w:tcW w:w="2460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DB13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Full Text Available</w:t>
            </w:r>
          </w:p>
        </w:tc>
      </w:tr>
      <w:tr w:rsidR="00A11899" w14:paraId="542A67D7" w14:textId="77777777">
        <w:trPr>
          <w:trHeight w:val="40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25D4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4061087" w14:textId="77777777" w:rsidR="00A11899" w:rsidRDefault="002D3FFE">
            <w:pPr>
              <w:pStyle w:val="Heading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0" w:after="0" w:line="294" w:lineRule="auto"/>
              <w:rPr>
                <w:color w:val="000000"/>
                <w:sz w:val="20"/>
                <w:szCs w:val="20"/>
              </w:rPr>
            </w:pPr>
            <w:bookmarkStart w:id="4" w:name="_qbcbo4gmz2dh" w:colFirst="0" w:colLast="0"/>
            <w:bookmarkEnd w:id="4"/>
            <w:r>
              <w:rPr>
                <w:color w:val="000000"/>
                <w:sz w:val="20"/>
                <w:szCs w:val="20"/>
              </w:rPr>
              <w:t xml:space="preserve">Evaluation of leptospirosis as a cause of fulminant hepatic </w:t>
            </w:r>
            <w:r>
              <w:rPr>
                <w:color w:val="000000"/>
                <w:sz w:val="20"/>
                <w:szCs w:val="20"/>
              </w:rPr>
              <w:lastRenderedPageBreak/>
              <w:t>failure, S, Suryanarayana B. Ann Arbor, All India Institute of Medical Sciences, New Delhi (India)2004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7B4F511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No Full Text Available</w:t>
            </w:r>
          </w:p>
        </w:tc>
      </w:tr>
      <w:tr w:rsidR="00A11899" w14:paraId="71CE4605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74B3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EFCF" w14:textId="77777777" w:rsidR="00A11899" w:rsidRDefault="002D3FFE">
            <w:pPr>
              <w:pStyle w:val="Heading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0" w:after="0" w:line="294" w:lineRule="auto"/>
              <w:rPr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Tokarevich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KN, Popova EM,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Pupkevich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-Diamant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IaS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. K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voprosu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likhoradochnoĭ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reaktsii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organizma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pri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leptospiroznoĭ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infektsii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. 1.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Likhoradochnaia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reaktsiia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pri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ikterogemorragicheskom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leptospiroze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[On the problem of fever reaction of the organism in leptospir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osis infection. 1. Fever reaction in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icterohemorrhagic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leptospirosis]. Tr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Leningr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Nauchnoissled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Inst Epidemiol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Mikrobiol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1966;29:44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-63. Russian. PMID: 6015037.</w:t>
            </w:r>
          </w:p>
        </w:tc>
        <w:tc>
          <w:tcPr>
            <w:tcW w:w="2460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D0E8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Full Text Available</w:t>
            </w:r>
          </w:p>
        </w:tc>
      </w:tr>
      <w:tr w:rsidR="00A11899" w14:paraId="6A49379B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23AF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9969" w14:textId="77777777" w:rsidR="00A11899" w:rsidRDefault="002D3FFE">
            <w:pPr>
              <w:pStyle w:val="Heading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0" w:after="0" w:line="294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DELTHIL P.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Embryopathie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à la suite d'un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ictère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infectieux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fébrile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à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rechute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[Embryopathy following Weil's disease during pregnancy]. Arch Fr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Pediatr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. 1951;8(8):860-1. Undetermined Language. PMID: 14915589.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2AC2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Full Text Available</w:t>
            </w:r>
          </w:p>
        </w:tc>
      </w:tr>
      <w:tr w:rsidR="00A11899" w14:paraId="183E0796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1B10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01EA" w14:textId="77777777" w:rsidR="00A11899" w:rsidRDefault="002D3FFE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Sturdza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N, Roman V, </w:t>
            </w:r>
            <w:proofErr w:type="spellStart"/>
            <w:r>
              <w:rPr>
                <w:sz w:val="20"/>
                <w:szCs w:val="20"/>
                <w:highlight w:val="white"/>
              </w:rPr>
              <w:t>Nicolescu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M, </w:t>
            </w:r>
            <w:proofErr w:type="spellStart"/>
            <w:r>
              <w:rPr>
                <w:sz w:val="20"/>
                <w:szCs w:val="20"/>
                <w:highlight w:val="white"/>
              </w:rPr>
              <w:t>Alămiţă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E, </w:t>
            </w:r>
            <w:proofErr w:type="spellStart"/>
            <w:r>
              <w:rPr>
                <w:sz w:val="20"/>
                <w:szCs w:val="20"/>
                <w:highlight w:val="white"/>
              </w:rPr>
              <w:t>Borşai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L. Human leptospirosis in Romania (1962-1966). Arch </w:t>
            </w:r>
            <w:proofErr w:type="spellStart"/>
            <w:r>
              <w:rPr>
                <w:sz w:val="20"/>
                <w:szCs w:val="20"/>
                <w:highlight w:val="white"/>
              </w:rPr>
              <w:t>Roum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Pathol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Exp Microbiol. 1968 Mar;27(1):63-74. PMID: 5706452.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4454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3B4D8C4C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BA65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714F" w14:textId="77777777" w:rsidR="00A11899" w:rsidRDefault="002D3FFE">
            <w:pPr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Bal AM. Unusual clinical manifestations of leptospirosi</w:t>
            </w:r>
            <w:r>
              <w:rPr>
                <w:sz w:val="20"/>
                <w:szCs w:val="20"/>
                <w:highlight w:val="white"/>
              </w:rPr>
              <w:t>s. J Postgrad Med. 2005 Jul-Sep;51(3):179-83. PMID: 16333189.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BB84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3916B74A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152E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49D2" w14:textId="77777777" w:rsidR="00A11899" w:rsidRDefault="002D3FF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Panchabhai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TS, Patil PD, Shah DR, Joshi AS. An autopsy study of maternal mortality: a tertiary healthcare perspective. J Postgrad Med. 2009 Jan-Mar;55(1):8-11. </w:t>
            </w:r>
            <w:proofErr w:type="spellStart"/>
            <w:r>
              <w:rPr>
                <w:sz w:val="20"/>
                <w:szCs w:val="20"/>
                <w:highlight w:val="white"/>
              </w:rPr>
              <w:t>doi</w:t>
            </w:r>
            <w:proofErr w:type="spellEnd"/>
            <w:r>
              <w:rPr>
                <w:sz w:val="20"/>
                <w:szCs w:val="20"/>
                <w:highlight w:val="white"/>
              </w:rPr>
              <w:t>: 10.4103/0022-3859.48434. PMID: 19242071.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DB67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61CB4039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668D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12CE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Sullivan ND. Lep</w:t>
            </w:r>
            <w:r>
              <w:rPr>
                <w:sz w:val="20"/>
                <w:szCs w:val="20"/>
                <w:highlight w:val="white"/>
              </w:rPr>
              <w:t xml:space="preserve">tospirosis in animals and man. Aust Vet J. 1974 May;50(5):216-23. </w:t>
            </w:r>
            <w:proofErr w:type="spellStart"/>
            <w:r>
              <w:rPr>
                <w:sz w:val="20"/>
                <w:szCs w:val="20"/>
                <w:highlight w:val="white"/>
              </w:rPr>
              <w:t>doi</w:t>
            </w:r>
            <w:proofErr w:type="spellEnd"/>
            <w:r>
              <w:rPr>
                <w:sz w:val="20"/>
                <w:szCs w:val="20"/>
                <w:highlight w:val="white"/>
              </w:rPr>
              <w:t>: 10.1111/j.1751-</w:t>
            </w:r>
            <w:proofErr w:type="gramStart"/>
            <w:r>
              <w:rPr>
                <w:sz w:val="20"/>
                <w:szCs w:val="20"/>
                <w:highlight w:val="white"/>
              </w:rPr>
              <w:t>0813.1974.tb</w:t>
            </w:r>
            <w:proofErr w:type="gramEnd"/>
            <w:r>
              <w:rPr>
                <w:sz w:val="20"/>
                <w:szCs w:val="20"/>
                <w:highlight w:val="white"/>
              </w:rPr>
              <w:t>02367.x. PMID: 4414082.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2BAB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</w:tr>
      <w:tr w:rsidR="00A11899" w14:paraId="31DC8318" w14:textId="77777777">
        <w:trPr>
          <w:trHeight w:val="36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A359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629A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McClure EM, Goldenberg RL. Infection and stillbirth. Semin Fetal Neonatal Med. 2009 Aug;14(4):182-9. </w:t>
            </w:r>
            <w:proofErr w:type="spellStart"/>
            <w:r>
              <w:rPr>
                <w:sz w:val="20"/>
                <w:szCs w:val="20"/>
                <w:highlight w:val="white"/>
              </w:rPr>
              <w:t>doi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: 10.1016/j.siny.2009.02.003. </w:t>
            </w:r>
            <w:proofErr w:type="spellStart"/>
            <w:r>
              <w:rPr>
                <w:sz w:val="20"/>
                <w:szCs w:val="20"/>
                <w:highlight w:val="white"/>
              </w:rPr>
              <w:t>Epub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2009 Mar 12. PMID: 19285457; PMCID: PMC3962114.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7C8C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14:paraId="6C73CF16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11899" w14:paraId="17C313A7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EC2F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B752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Puliyath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G, Singh S. Leptospirosis in pregnancy. Eur J Clin Microbiol Infect Dis. 2012 Oct;31(10):2491-6. </w:t>
            </w:r>
            <w:proofErr w:type="spellStart"/>
            <w:r>
              <w:rPr>
                <w:sz w:val="20"/>
                <w:szCs w:val="20"/>
                <w:highlight w:val="white"/>
              </w:rPr>
              <w:t>doi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: 10.1007/s10096-012-1625-7. </w:t>
            </w:r>
            <w:proofErr w:type="spellStart"/>
            <w:r>
              <w:rPr>
                <w:sz w:val="20"/>
                <w:szCs w:val="20"/>
                <w:highlight w:val="white"/>
              </w:rPr>
              <w:t>Epub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2012 May 2. PMID: 22549729.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7C29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</w:tr>
      <w:tr w:rsidR="00A11899" w14:paraId="6A25D32A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B095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FF78" w14:textId="77777777" w:rsidR="00A11899" w:rsidRDefault="002D3FFE">
            <w:pPr>
              <w:pStyle w:val="Heading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0" w:after="0" w:line="294" w:lineRule="auto"/>
              <w:rPr>
                <w:color w:val="000000"/>
                <w:sz w:val="20"/>
                <w:szCs w:val="20"/>
              </w:rPr>
            </w:pPr>
            <w:bookmarkStart w:id="5" w:name="_gb5h3ztdzz7a" w:colFirst="0" w:colLast="0"/>
            <w:bookmarkEnd w:id="5"/>
            <w:r>
              <w:rPr>
                <w:color w:val="000000"/>
                <w:sz w:val="20"/>
                <w:szCs w:val="20"/>
              </w:rPr>
              <w:t>Zoonotic infections in adults in the Bushbuckridge District of Mpumalanga Province. Quan, V.C. et al. International Journal of Infectious Diseases, Volume 21, 186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9966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</w:t>
            </w:r>
          </w:p>
        </w:tc>
      </w:tr>
      <w:tr w:rsidR="00A11899" w14:paraId="49EECDF8" w14:textId="77777777">
        <w:trPr>
          <w:trHeight w:val="400"/>
        </w:trPr>
        <w:tc>
          <w:tcPr>
            <w:tcW w:w="114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EECA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90DF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Thiermann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AB, Frank RR. Human leptospirosis in Detroit and the role of rats as chron</w:t>
            </w:r>
            <w:r>
              <w:rPr>
                <w:sz w:val="20"/>
                <w:szCs w:val="20"/>
                <w:highlight w:val="white"/>
              </w:rPr>
              <w:t xml:space="preserve">ic carriers. Int J Zoonoses. 1980 </w:t>
            </w:r>
            <w:r>
              <w:rPr>
                <w:sz w:val="20"/>
                <w:szCs w:val="20"/>
                <w:highlight w:val="white"/>
              </w:rPr>
              <w:lastRenderedPageBreak/>
              <w:t>Jun;7(1):62-72. PMID: 7461920.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C4E1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Animal</w:t>
            </w:r>
          </w:p>
        </w:tc>
      </w:tr>
      <w:tr w:rsidR="00A11899" w14:paraId="366645D5" w14:textId="77777777">
        <w:trPr>
          <w:trHeight w:val="274"/>
        </w:trPr>
        <w:tc>
          <w:tcPr>
            <w:tcW w:w="9885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81F3" w14:textId="77777777" w:rsidR="00A11899" w:rsidRDefault="00A1189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"/>
                <w:szCs w:val="2"/>
              </w:rPr>
            </w:pPr>
          </w:p>
        </w:tc>
      </w:tr>
      <w:tr w:rsidR="00A11899" w14:paraId="6E5AB5EE" w14:textId="77777777">
        <w:trPr>
          <w:trHeight w:val="400"/>
        </w:trPr>
        <w:tc>
          <w:tcPr>
            <w:tcW w:w="114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CE34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Report/</w:t>
            </w:r>
          </w:p>
          <w:p w14:paraId="50A061DA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D48B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Liverpool J, Francis S, Liverpool CE, Dean GT, Mendez DD. Leptospirosis: case reports of an outbreak in Guyana. Ann Trop Med </w:t>
            </w:r>
            <w:proofErr w:type="spellStart"/>
            <w:r>
              <w:rPr>
                <w:sz w:val="20"/>
                <w:szCs w:val="20"/>
                <w:highlight w:val="white"/>
              </w:rPr>
              <w:t>Parasitol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. 2008 Apr;102(3):239-45. </w:t>
            </w:r>
            <w:proofErr w:type="spellStart"/>
            <w:r>
              <w:rPr>
                <w:sz w:val="20"/>
                <w:szCs w:val="20"/>
                <w:highlight w:val="white"/>
              </w:rPr>
              <w:t>doi</w:t>
            </w:r>
            <w:proofErr w:type="spellEnd"/>
            <w:r>
              <w:rPr>
                <w:sz w:val="20"/>
                <w:szCs w:val="20"/>
                <w:highlight w:val="white"/>
              </w:rPr>
              <w:t>: 10.1179/136485908X278784. PMID: 18348778.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A4FF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leptospirosis in pregnancy</w:t>
            </w:r>
          </w:p>
        </w:tc>
      </w:tr>
      <w:tr w:rsidR="00A11899" w14:paraId="636C1B2A" w14:textId="77777777">
        <w:trPr>
          <w:trHeight w:val="400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6FDC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2343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McIntosh, </w:t>
            </w:r>
            <w:proofErr w:type="gramStart"/>
            <w:r>
              <w:rPr>
                <w:sz w:val="20"/>
                <w:szCs w:val="20"/>
              </w:rPr>
              <w:t>N.</w:t>
            </w:r>
            <w:proofErr w:type="gramEnd"/>
            <w:r>
              <w:rPr>
                <w:sz w:val="20"/>
                <w:szCs w:val="20"/>
              </w:rPr>
              <w:t xml:space="preserve"> and T. </w:t>
            </w:r>
            <w:proofErr w:type="spellStart"/>
            <w:r>
              <w:rPr>
                <w:sz w:val="20"/>
                <w:szCs w:val="20"/>
              </w:rPr>
              <w:t>Madhavan</w:t>
            </w:r>
            <w:proofErr w:type="spellEnd"/>
            <w:r>
              <w:rPr>
                <w:sz w:val="20"/>
                <w:szCs w:val="20"/>
              </w:rPr>
              <w:t xml:space="preserve"> (1982). "Zoonoses at Henry Ford Hospital: clinical, epidemiologic, and therapeutic aspects." </w:t>
            </w:r>
            <w:r>
              <w:rPr>
                <w:sz w:val="20"/>
                <w:szCs w:val="20"/>
                <w:u w:val="single"/>
              </w:rPr>
              <w:t>Henry Ford Hosp Med J</w:t>
            </w:r>
            <w:r>
              <w:rPr>
                <w:sz w:val="20"/>
                <w:szCs w:val="20"/>
              </w:rPr>
              <w:t xml:space="preserve"> 30(1): 7-10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A11A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leptospirosis in pregnancy</w:t>
            </w:r>
          </w:p>
        </w:tc>
      </w:tr>
      <w:tr w:rsidR="00A11899" w14:paraId="6BDF0C32" w14:textId="77777777">
        <w:trPr>
          <w:trHeight w:val="400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075A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F384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Maszkiewicz</w:t>
            </w:r>
            <w:proofErr w:type="spellEnd"/>
            <w:r>
              <w:rPr>
                <w:sz w:val="20"/>
                <w:szCs w:val="20"/>
              </w:rPr>
              <w:t xml:space="preserve">, W., K. </w:t>
            </w:r>
            <w:proofErr w:type="spellStart"/>
            <w:r>
              <w:rPr>
                <w:sz w:val="20"/>
                <w:szCs w:val="20"/>
              </w:rPr>
              <w:t>Ornat</w:t>
            </w:r>
            <w:proofErr w:type="spellEnd"/>
            <w:r>
              <w:rPr>
                <w:sz w:val="20"/>
                <w:szCs w:val="20"/>
              </w:rPr>
              <w:t xml:space="preserve">, B. </w:t>
            </w:r>
            <w:proofErr w:type="spellStart"/>
            <w:r>
              <w:rPr>
                <w:sz w:val="20"/>
                <w:szCs w:val="20"/>
              </w:rPr>
              <w:t>Zarczynska</w:t>
            </w:r>
            <w:proofErr w:type="spellEnd"/>
            <w:r>
              <w:rPr>
                <w:sz w:val="20"/>
                <w:szCs w:val="20"/>
              </w:rPr>
              <w:t xml:space="preserve"> and D. </w:t>
            </w:r>
            <w:proofErr w:type="spellStart"/>
            <w:r>
              <w:rPr>
                <w:sz w:val="20"/>
                <w:szCs w:val="20"/>
              </w:rPr>
              <w:t>Irzynska</w:t>
            </w:r>
            <w:proofErr w:type="spellEnd"/>
            <w:r>
              <w:rPr>
                <w:sz w:val="20"/>
                <w:szCs w:val="20"/>
              </w:rPr>
              <w:t xml:space="preserve"> (1979). "</w:t>
            </w:r>
            <w:proofErr w:type="spellStart"/>
            <w:r>
              <w:rPr>
                <w:sz w:val="20"/>
                <w:szCs w:val="20"/>
              </w:rPr>
              <w:t>Spirochaetal</w:t>
            </w:r>
            <w:proofErr w:type="spellEnd"/>
            <w:r>
              <w:rPr>
                <w:sz w:val="20"/>
                <w:szCs w:val="20"/>
              </w:rPr>
              <w:t xml:space="preserve"> septicemia in newborn infants." </w:t>
            </w:r>
            <w:proofErr w:type="spellStart"/>
            <w:r>
              <w:rPr>
                <w:sz w:val="20"/>
                <w:szCs w:val="20"/>
              </w:rPr>
              <w:t>Polski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tygodnik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lekarski</w:t>
            </w:r>
            <w:proofErr w:type="spellEnd"/>
            <w:r>
              <w:rPr>
                <w:sz w:val="20"/>
                <w:szCs w:val="20"/>
              </w:rPr>
              <w:t xml:space="preserve"> (Warsaw, </w:t>
            </w:r>
            <w:proofErr w:type="gramStart"/>
            <w:r>
              <w:rPr>
                <w:sz w:val="20"/>
                <w:szCs w:val="20"/>
              </w:rPr>
              <w:t>Poland :</w:t>
            </w:r>
            <w:proofErr w:type="gramEnd"/>
            <w:r>
              <w:rPr>
                <w:sz w:val="20"/>
                <w:szCs w:val="20"/>
              </w:rPr>
              <w:t xml:space="preserve"> 1960) 34(8): 301-302.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F767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leptospirosis in pregnancy</w:t>
            </w:r>
          </w:p>
        </w:tc>
      </w:tr>
      <w:tr w:rsidR="00A11899" w14:paraId="03F683B3" w14:textId="77777777">
        <w:trPr>
          <w:trHeight w:val="400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DBF0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771B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Naidoo PM. Acute renal failure. Experience with </w:t>
            </w:r>
            <w:r>
              <w:rPr>
                <w:sz w:val="20"/>
                <w:szCs w:val="20"/>
                <w:highlight w:val="white"/>
              </w:rPr>
              <w:t xml:space="preserve">52 patients treated at Livingstone Hospital. S </w:t>
            </w:r>
            <w:proofErr w:type="spellStart"/>
            <w:r>
              <w:rPr>
                <w:sz w:val="20"/>
                <w:szCs w:val="20"/>
                <w:highlight w:val="white"/>
              </w:rPr>
              <w:t>Afr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Med J. 1976 Jan 17;50(3):78-80. PMID: 1251280.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1662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leptospirosis in pregnancy</w:t>
            </w:r>
          </w:p>
        </w:tc>
      </w:tr>
      <w:tr w:rsidR="00A11899" w14:paraId="2FE3434C" w14:textId="77777777">
        <w:trPr>
          <w:trHeight w:val="1219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1231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A311" w14:textId="77777777" w:rsidR="00A11899" w:rsidRDefault="002D3FFE">
            <w:pPr>
              <w:pStyle w:val="Heading1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 w:after="0" w:line="172" w:lineRule="auto"/>
              <w:rPr>
                <w:sz w:val="20"/>
                <w:szCs w:val="20"/>
              </w:rPr>
            </w:pPr>
            <w:bookmarkStart w:id="6" w:name="_99r09tqtvap7" w:colFirst="0" w:colLast="0"/>
            <w:bookmarkEnd w:id="6"/>
            <w:r>
              <w:rPr>
                <w:sz w:val="20"/>
                <w:szCs w:val="20"/>
              </w:rPr>
              <w:t xml:space="preserve">Case Report Molecular characterization of </w:t>
            </w:r>
            <w:r>
              <w:rPr>
                <w:i/>
                <w:sz w:val="20"/>
                <w:szCs w:val="20"/>
              </w:rPr>
              <w:t xml:space="preserve">Leptospira </w:t>
            </w:r>
            <w:proofErr w:type="spellStart"/>
            <w:r>
              <w:rPr>
                <w:i/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 xml:space="preserve"> by </w:t>
            </w:r>
            <w:proofErr w:type="spellStart"/>
            <w:r>
              <w:rPr>
                <w:sz w:val="20"/>
                <w:szCs w:val="20"/>
              </w:rPr>
              <w:t>multilocus</w:t>
            </w:r>
            <w:proofErr w:type="spellEnd"/>
            <w:r>
              <w:rPr>
                <w:sz w:val="20"/>
                <w:szCs w:val="20"/>
              </w:rPr>
              <w:t xml:space="preserve"> variable number tandem repeat analysis (MLVA) from clinical samples: a case report</w:t>
            </w:r>
          </w:p>
          <w:p w14:paraId="4D097EAB" w14:textId="77777777" w:rsidR="00A11899" w:rsidRDefault="002D3FFE">
            <w:pPr>
              <w:widowControl w:val="0"/>
              <w:spacing w:after="3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2015. </w:t>
            </w:r>
            <w:hyperlink r:id="rId6" w:anchor="!">
              <w:proofErr w:type="spellStart"/>
              <w:r>
                <w:rPr>
                  <w:sz w:val="20"/>
                  <w:szCs w:val="20"/>
                </w:rPr>
                <w:t>HélènePailhoriès</w:t>
              </w:r>
              <w:proofErr w:type="spellEnd"/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4882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leptospirosis in pregnancy</w:t>
            </w:r>
          </w:p>
        </w:tc>
      </w:tr>
      <w:tr w:rsidR="00A11899" w14:paraId="41660A17" w14:textId="77777777">
        <w:trPr>
          <w:trHeight w:val="400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8A8F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70E7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Sin, J. </w:t>
            </w:r>
            <w:proofErr w:type="spellStart"/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artill-Dadson</w:t>
            </w:r>
            <w:proofErr w:type="spellEnd"/>
            <w:r>
              <w:rPr>
                <w:sz w:val="20"/>
                <w:szCs w:val="20"/>
              </w:rPr>
              <w:t xml:space="preserve">, M. B Garvey. Z Hussain and H. </w:t>
            </w:r>
            <w:proofErr w:type="spellStart"/>
            <w:r>
              <w:rPr>
                <w:sz w:val="20"/>
                <w:szCs w:val="20"/>
              </w:rPr>
              <w:t>Ghaffer</w:t>
            </w:r>
            <w:proofErr w:type="spellEnd"/>
            <w:r>
              <w:rPr>
                <w:sz w:val="20"/>
                <w:szCs w:val="20"/>
              </w:rPr>
              <w:t xml:space="preserve"> (2013), “An unexpected diagnosis encountered in the hematology laboratory: Peripheral blood findings in a patient with relapsing fever.” International Journal of Laboratory Hematology 35 (SUPPL.1): 105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4FC4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 leptospirosis in pregnancy</w:t>
            </w:r>
          </w:p>
        </w:tc>
      </w:tr>
      <w:tr w:rsidR="00A11899" w14:paraId="7753E2A5" w14:textId="77777777">
        <w:trPr>
          <w:trHeight w:val="400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DFD0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DEAA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Guggenheim JN, </w:t>
            </w:r>
            <w:proofErr w:type="spellStart"/>
            <w:r>
              <w:rPr>
                <w:sz w:val="20"/>
                <w:szCs w:val="20"/>
                <w:highlight w:val="white"/>
              </w:rPr>
              <w:t>Haverkamp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AD. Tick-borne relapsing fever during pregnancy: a case report. J </w:t>
            </w:r>
            <w:proofErr w:type="spellStart"/>
            <w:r>
              <w:rPr>
                <w:sz w:val="20"/>
                <w:szCs w:val="20"/>
                <w:highlight w:val="white"/>
              </w:rPr>
              <w:t>Reprod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Med. 2005 Sep;50(9):727-9. PMID: 16363764.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1120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leptospirosis in pregnancy</w:t>
            </w:r>
          </w:p>
        </w:tc>
      </w:tr>
      <w:tr w:rsidR="00A11899" w14:paraId="011974A7" w14:textId="77777777">
        <w:trPr>
          <w:trHeight w:val="400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D50A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DFA3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Davis RD, Burke JP, Wright LJ. Relapsing fever associated with ARDS in a parturient</w:t>
            </w:r>
            <w:r>
              <w:rPr>
                <w:sz w:val="20"/>
                <w:szCs w:val="20"/>
                <w:highlight w:val="white"/>
              </w:rPr>
              <w:t xml:space="preserve"> woman. A case report and review of the literature. Chest. 1992 Aug;102(2):630-2. </w:t>
            </w:r>
            <w:proofErr w:type="spellStart"/>
            <w:r>
              <w:rPr>
                <w:sz w:val="20"/>
                <w:szCs w:val="20"/>
                <w:highlight w:val="white"/>
              </w:rPr>
              <w:t>doi</w:t>
            </w:r>
            <w:proofErr w:type="spellEnd"/>
            <w:r>
              <w:rPr>
                <w:sz w:val="20"/>
                <w:szCs w:val="20"/>
                <w:highlight w:val="white"/>
              </w:rPr>
              <w:t>: 10.1378/chest.102.2.630. PMID: 1643961.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457B" w14:textId="77777777" w:rsidR="00A11899" w:rsidRDefault="002D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leptospirosis in pregnancy</w:t>
            </w:r>
          </w:p>
        </w:tc>
      </w:tr>
      <w:tr w:rsidR="00A11899" w14:paraId="1DF3A6E3" w14:textId="77777777">
        <w:trPr>
          <w:trHeight w:val="400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CC89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8182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Samanta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S, </w:t>
            </w:r>
            <w:proofErr w:type="spellStart"/>
            <w:r>
              <w:rPr>
                <w:sz w:val="20"/>
                <w:szCs w:val="20"/>
                <w:highlight w:val="white"/>
              </w:rPr>
              <w:t>Samanta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S, </w:t>
            </w:r>
            <w:proofErr w:type="spellStart"/>
            <w:r>
              <w:rPr>
                <w:sz w:val="20"/>
                <w:szCs w:val="20"/>
                <w:highlight w:val="white"/>
              </w:rPr>
              <w:t>Haldar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R. Emergency caesarean delivery in a patient with cerebral malaria-</w:t>
            </w:r>
            <w:proofErr w:type="spellStart"/>
            <w:r>
              <w:rPr>
                <w:sz w:val="20"/>
                <w:szCs w:val="20"/>
                <w:highlight w:val="white"/>
              </w:rPr>
              <w:t>l</w:t>
            </w:r>
            <w:r>
              <w:rPr>
                <w:sz w:val="20"/>
                <w:szCs w:val="20"/>
                <w:highlight w:val="white"/>
              </w:rPr>
              <w:t>eptospira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co infection: </w:t>
            </w:r>
            <w:proofErr w:type="spellStart"/>
            <w:r>
              <w:rPr>
                <w:sz w:val="20"/>
                <w:szCs w:val="20"/>
                <w:highlight w:val="white"/>
              </w:rPr>
              <w:t>Anaesthetic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and critical care considerations. </w:t>
            </w:r>
            <w:r>
              <w:rPr>
                <w:i/>
                <w:sz w:val="20"/>
                <w:szCs w:val="20"/>
                <w:highlight w:val="white"/>
              </w:rPr>
              <w:t xml:space="preserve">Indian J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Anaesth</w:t>
            </w:r>
            <w:proofErr w:type="spellEnd"/>
            <w:r>
              <w:rPr>
                <w:sz w:val="20"/>
                <w:szCs w:val="20"/>
                <w:highlight w:val="white"/>
              </w:rPr>
              <w:t>. 2014;58(1):55-58. doi:10.4103/0019-5049.126797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2015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Co-infection</w:t>
            </w:r>
          </w:p>
        </w:tc>
      </w:tr>
      <w:tr w:rsidR="00A11899" w14:paraId="14961133" w14:textId="77777777">
        <w:trPr>
          <w:trHeight w:val="400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2377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4D45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Yeap</w:t>
            </w:r>
            <w:proofErr w:type="spellEnd"/>
            <w:r>
              <w:rPr>
                <w:sz w:val="20"/>
                <w:szCs w:val="20"/>
              </w:rPr>
              <w:t xml:space="preserve">, Tat &amp; </w:t>
            </w:r>
            <w:proofErr w:type="spellStart"/>
            <w:r>
              <w:rPr>
                <w:sz w:val="20"/>
                <w:szCs w:val="20"/>
              </w:rPr>
              <w:t>Muniandy</w:t>
            </w:r>
            <w:proofErr w:type="spellEnd"/>
            <w:r>
              <w:rPr>
                <w:sz w:val="20"/>
                <w:szCs w:val="20"/>
              </w:rPr>
              <w:t>, Rajesh. (2019). CA-MRSA and Leptospirosis Co-</w:t>
            </w:r>
            <w:proofErr w:type="gramStart"/>
            <w:r>
              <w:rPr>
                <w:sz w:val="20"/>
                <w:szCs w:val="20"/>
              </w:rPr>
              <w:t>Infections :</w:t>
            </w:r>
            <w:proofErr w:type="gramEnd"/>
            <w:r>
              <w:rPr>
                <w:sz w:val="20"/>
                <w:szCs w:val="20"/>
              </w:rPr>
              <w:t xml:space="preserve"> The recipe to a Successful Management. Gazi Medical Journal. 30. 82-83. 10.12996/gmj.2019.23.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1D05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Co-infection</w:t>
            </w:r>
          </w:p>
        </w:tc>
      </w:tr>
      <w:tr w:rsidR="00A11899" w14:paraId="37742CE1" w14:textId="77777777">
        <w:trPr>
          <w:trHeight w:val="400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96D6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6A42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Paranthakan</w:t>
            </w:r>
            <w:proofErr w:type="spellEnd"/>
            <w:r>
              <w:rPr>
                <w:sz w:val="20"/>
                <w:szCs w:val="20"/>
              </w:rPr>
              <w:t xml:space="preserve">, C., K. M. Ali, S. B. </w:t>
            </w:r>
            <w:proofErr w:type="gramStart"/>
            <w:r>
              <w:rPr>
                <w:sz w:val="20"/>
                <w:szCs w:val="20"/>
              </w:rPr>
              <w:t>Sangeetha</w:t>
            </w:r>
            <w:proofErr w:type="gramEnd"/>
            <w:r>
              <w:rPr>
                <w:sz w:val="20"/>
                <w:szCs w:val="20"/>
              </w:rPr>
              <w:t xml:space="preserve"> and S. M. </w:t>
            </w:r>
            <w:proofErr w:type="spellStart"/>
            <w:r>
              <w:rPr>
                <w:sz w:val="20"/>
                <w:szCs w:val="20"/>
              </w:rPr>
              <w:t>Kumaravel</w:t>
            </w:r>
            <w:proofErr w:type="spellEnd"/>
            <w:r>
              <w:rPr>
                <w:sz w:val="20"/>
                <w:szCs w:val="20"/>
              </w:rPr>
              <w:t xml:space="preserve"> (2018). "Fungal Pneumonia - Leptospirosis Co-Infection: A Case Report." </w:t>
            </w:r>
            <w:r>
              <w:rPr>
                <w:sz w:val="20"/>
                <w:szCs w:val="20"/>
                <w:u w:val="single"/>
              </w:rPr>
              <w:t>Research Journal of Pharmaceutical Biological and Chemical Sciences</w:t>
            </w:r>
            <w:r>
              <w:rPr>
                <w:sz w:val="20"/>
                <w:szCs w:val="20"/>
              </w:rPr>
              <w:t xml:space="preserve"> 9(2): 251-253.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29A2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Co-infection</w:t>
            </w:r>
          </w:p>
        </w:tc>
      </w:tr>
      <w:tr w:rsidR="00A11899" w14:paraId="09FA6876" w14:textId="77777777">
        <w:trPr>
          <w:trHeight w:val="985"/>
        </w:trPr>
        <w:tc>
          <w:tcPr>
            <w:tcW w:w="114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857B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C669" w14:textId="77777777" w:rsidR="00A11899" w:rsidRDefault="002D3FFE">
            <w:pPr>
              <w:pStyle w:val="Heading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bookmarkStart w:id="7" w:name="_6poixdmuk4eb" w:colFirst="0" w:colLast="0"/>
            <w:bookmarkEnd w:id="7"/>
            <w:r>
              <w:rPr>
                <w:color w:val="000000"/>
                <w:sz w:val="20"/>
                <w:szCs w:val="20"/>
              </w:rPr>
              <w:t xml:space="preserve">Chung HL, </w:t>
            </w:r>
            <w:proofErr w:type="spellStart"/>
            <w:r>
              <w:rPr>
                <w:color w:val="000000"/>
                <w:sz w:val="20"/>
                <w:szCs w:val="20"/>
              </w:rPr>
              <w:t>Ts'ao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WC, Mo PS, Yen C. Transplacental or congenital infection of leptospirosis: clinical and experimental observations. Chin Med J (</w:t>
            </w:r>
            <w:proofErr w:type="spellStart"/>
            <w:r>
              <w:rPr>
                <w:color w:val="000000"/>
                <w:sz w:val="20"/>
                <w:szCs w:val="20"/>
              </w:rPr>
              <w:t>Engl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color w:val="000000"/>
                <w:sz w:val="20"/>
                <w:szCs w:val="20"/>
              </w:rPr>
              <w:t>1963;82:777</w:t>
            </w:r>
            <w:proofErr w:type="gramEnd"/>
            <w:r>
              <w:rPr>
                <w:color w:val="000000"/>
                <w:sz w:val="20"/>
                <w:szCs w:val="20"/>
              </w:rPr>
              <w:t>-82.</w:t>
            </w:r>
          </w:p>
          <w:p w14:paraId="263B4E09" w14:textId="77777777" w:rsidR="00A11899" w:rsidRDefault="00A11899">
            <w:pPr>
              <w:pStyle w:val="Heading4"/>
              <w:keepNext w:val="0"/>
              <w:keepLines w:val="0"/>
              <w:widowControl w:val="0"/>
              <w:shd w:val="clear" w:color="auto" w:fill="FFFFFF"/>
              <w:spacing w:before="0" w:after="0" w:line="294" w:lineRule="auto"/>
              <w:ind w:left="720"/>
              <w:rPr>
                <w:color w:val="000000"/>
                <w:sz w:val="20"/>
                <w:szCs w:val="20"/>
              </w:rPr>
            </w:pPr>
            <w:bookmarkStart w:id="8" w:name="_ty5msghgorx2" w:colFirst="0" w:colLast="0"/>
            <w:bookmarkEnd w:id="8"/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8955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Full Text Available</w:t>
            </w:r>
          </w:p>
        </w:tc>
      </w:tr>
      <w:tr w:rsidR="00A11899" w14:paraId="4227B9C1" w14:textId="77777777">
        <w:trPr>
          <w:trHeight w:val="169"/>
        </w:trPr>
        <w:tc>
          <w:tcPr>
            <w:tcW w:w="9885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1D87" w14:textId="77777777" w:rsidR="00A11899" w:rsidRDefault="00A11899">
            <w:pPr>
              <w:widowControl w:val="0"/>
              <w:spacing w:line="240" w:lineRule="auto"/>
              <w:ind w:left="720"/>
              <w:rPr>
                <w:sz w:val="2"/>
                <w:szCs w:val="2"/>
              </w:rPr>
            </w:pPr>
          </w:p>
        </w:tc>
      </w:tr>
      <w:tr w:rsidR="00A11899" w14:paraId="122B177A" w14:textId="77777777">
        <w:trPr>
          <w:trHeight w:val="360"/>
        </w:trPr>
        <w:tc>
          <w:tcPr>
            <w:tcW w:w="1140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08AB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Studies</w:t>
            </w:r>
          </w:p>
        </w:tc>
        <w:tc>
          <w:tcPr>
            <w:tcW w:w="6285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3CA5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for leptospirosis infection in healthy donors. CTRI/2020/07/026640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6C72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1EBBAC5A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506E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A4CC6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7">
              <w:r>
                <w:rPr>
                  <w:sz w:val="20"/>
                  <w:szCs w:val="20"/>
                </w:rPr>
                <w:t xml:space="preserve">A study on utility of quick, </w:t>
              </w:r>
              <w:proofErr w:type="gramStart"/>
              <w:r>
                <w:rPr>
                  <w:sz w:val="20"/>
                  <w:szCs w:val="20"/>
                </w:rPr>
                <w:t>fast</w:t>
              </w:r>
              <w:proofErr w:type="gramEnd"/>
              <w:r>
                <w:rPr>
                  <w:sz w:val="20"/>
                  <w:szCs w:val="20"/>
                </w:rPr>
                <w:t xml:space="preserve"> and easy-to-do tests in improving care by decreasing the number of days of stay in hospital in patients who come with fever of short</w:t>
              </w:r>
              <w:r>
                <w:rPr>
                  <w:sz w:val="20"/>
                  <w:szCs w:val="20"/>
                </w:rPr>
                <w:t xml:space="preserve"> duration</w:t>
              </w:r>
            </w:hyperlink>
            <w:r>
              <w:rPr>
                <w:sz w:val="20"/>
                <w:szCs w:val="20"/>
              </w:rPr>
              <w:t>. CTRI/2020/06/026174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2657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107BD5AE" w14:textId="77777777">
        <w:trPr>
          <w:trHeight w:val="1004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BCE2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DE8D1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8">
              <w:r>
                <w:rPr>
                  <w:sz w:val="20"/>
                  <w:szCs w:val="20"/>
                </w:rPr>
                <w:t>To identify factors responsible for intensive care admission and death in patients suffering from a</w:t>
              </w:r>
              <w:r>
                <w:rPr>
                  <w:sz w:val="20"/>
                  <w:szCs w:val="20"/>
                </w:rPr>
                <w:t>cute febrile illness</w:t>
              </w:r>
            </w:hyperlink>
            <w:r>
              <w:rPr>
                <w:sz w:val="20"/>
                <w:szCs w:val="20"/>
              </w:rPr>
              <w:t>. CTRI/2020/03/024355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750A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25C562BE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2DE7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AF1E1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9">
              <w:r>
                <w:rPr>
                  <w:sz w:val="20"/>
                  <w:szCs w:val="20"/>
                </w:rPr>
                <w:t>Advancing Access to Diagnostic Innovation essential For AMR Prevention</w:t>
              </w:r>
            </w:hyperlink>
            <w:r>
              <w:rPr>
                <w:sz w:val="20"/>
                <w:szCs w:val="20"/>
              </w:rPr>
              <w:t>. CTRI/2020/02/023253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FB0F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0D07409F" w14:textId="77777777">
        <w:trPr>
          <w:trHeight w:val="360"/>
        </w:trPr>
        <w:tc>
          <w:tcPr>
            <w:tcW w:w="114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D9E8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6CAE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non-randomized controlled clinical trial on the effectiveness of an </w:t>
            </w:r>
            <w:proofErr w:type="gramStart"/>
            <w:r>
              <w:rPr>
                <w:sz w:val="20"/>
                <w:szCs w:val="20"/>
              </w:rPr>
              <w:t>education based</w:t>
            </w:r>
            <w:proofErr w:type="gramEnd"/>
            <w:r>
              <w:rPr>
                <w:sz w:val="20"/>
                <w:szCs w:val="20"/>
              </w:rPr>
              <w:t xml:space="preserve"> intervention in improving the knowledge on leptospirosis that would help </w:t>
            </w:r>
            <w:proofErr w:type="spellStart"/>
            <w:r>
              <w:rPr>
                <w:sz w:val="20"/>
                <w:szCs w:val="20"/>
              </w:rPr>
              <w:t>minimise</w:t>
            </w:r>
            <w:proofErr w:type="spellEnd"/>
            <w:r>
              <w:rPr>
                <w:sz w:val="20"/>
                <w:szCs w:val="20"/>
              </w:rPr>
              <w:t xml:space="preserve"> delays in seeking treatment among farmers in the Monaragala district. SLCTR/2019/030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090F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earch questions not answered</w:t>
            </w:r>
          </w:p>
        </w:tc>
      </w:tr>
      <w:tr w:rsidR="00A11899" w14:paraId="388918A3" w14:textId="77777777">
        <w:trPr>
          <w:trHeight w:val="360"/>
        </w:trPr>
        <w:tc>
          <w:tcPr>
            <w:tcW w:w="114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C1C4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6A46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between dengue and leptospirosis. SLCTR/2019/030</w:t>
            </w:r>
          </w:p>
          <w:p w14:paraId="6DEDD2BF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E8FD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3804B9CA" w14:textId="77777777">
        <w:trPr>
          <w:trHeight w:val="360"/>
        </w:trPr>
        <w:tc>
          <w:tcPr>
            <w:tcW w:w="114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002D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ABD2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laboratory diagnosis of leptospirosis and its characterization in tertiary care hospital setting. CTRI/2019/01/017333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594C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0F39FE8F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4A8F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1110F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0">
              <w:r>
                <w:rPr>
                  <w:sz w:val="20"/>
                  <w:szCs w:val="20"/>
                </w:rPr>
                <w:t>Seroprevalence Study to Evaluate the Persistence of Anti-</w:t>
              </w:r>
              <w:proofErr w:type="spellStart"/>
              <w:r>
                <w:rPr>
                  <w:sz w:val="20"/>
                  <w:szCs w:val="20"/>
                </w:rPr>
                <w:t>leptospira</w:t>
              </w:r>
              <w:proofErr w:type="spellEnd"/>
              <w:r>
                <w:rPr>
                  <w:sz w:val="20"/>
                  <w:szCs w:val="20"/>
                </w:rPr>
                <w:t xml:space="preserve"> Antibody in Subjects Vaccinated </w:t>
              </w:r>
              <w:proofErr w:type="gramStart"/>
              <w:r>
                <w:rPr>
                  <w:sz w:val="20"/>
                  <w:szCs w:val="20"/>
                </w:rPr>
                <w:t>With</w:t>
              </w:r>
              <w:proofErr w:type="gramEnd"/>
              <w:r>
                <w:rPr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sz w:val="20"/>
                  <w:szCs w:val="20"/>
                </w:rPr>
                <w:t>Spirolept</w:t>
              </w:r>
              <w:proofErr w:type="spellEnd"/>
              <w:r>
                <w:rPr>
                  <w:sz w:val="20"/>
                  <w:szCs w:val="20"/>
                </w:rPr>
                <w:t xml:space="preserve"> Vaccine</w:t>
              </w:r>
            </w:hyperlink>
            <w:r>
              <w:rPr>
                <w:sz w:val="20"/>
                <w:szCs w:val="20"/>
              </w:rPr>
              <w:t>. NCT03497572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66BC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55C68A00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79A2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212D8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1">
              <w:r>
                <w:rPr>
                  <w:sz w:val="20"/>
                  <w:szCs w:val="20"/>
                </w:rPr>
                <w:t>The effectiveness and acceptability of the '</w:t>
              </w:r>
              <w:proofErr w:type="spellStart"/>
              <w:r>
                <w:rPr>
                  <w:sz w:val="20"/>
                  <w:szCs w:val="20"/>
                </w:rPr>
                <w:t>BALatrine</w:t>
              </w:r>
              <w:proofErr w:type="spellEnd"/>
              <w:r>
                <w:rPr>
                  <w:sz w:val="20"/>
                  <w:szCs w:val="20"/>
                </w:rPr>
                <w:t>': a culturally acceptable latrine intervention in resource limited environments.</w:t>
              </w:r>
            </w:hyperlink>
            <w:r>
              <w:rPr>
                <w:sz w:val="20"/>
                <w:szCs w:val="20"/>
              </w:rPr>
              <w:t xml:space="preserve"> ACTRN12617000193370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BDE4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573770A9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085A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2432E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2">
              <w:r>
                <w:rPr>
                  <w:sz w:val="20"/>
                  <w:szCs w:val="20"/>
                </w:rPr>
                <w:t>Immune Response After Leptospirosis Infection</w:t>
              </w:r>
            </w:hyperlink>
            <w:r>
              <w:rPr>
                <w:sz w:val="20"/>
                <w:szCs w:val="20"/>
              </w:rPr>
              <w:t>. CT02898519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176C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4B3DFD33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E8DA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6A46D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hyperlink r:id="rId13">
              <w:r>
                <w:rPr>
                  <w:sz w:val="20"/>
                  <w:szCs w:val="20"/>
                </w:rPr>
                <w:t>linical trial azithromycin versus doxycycline chemopro</w:t>
              </w:r>
              <w:r>
                <w:rPr>
                  <w:sz w:val="20"/>
                  <w:szCs w:val="20"/>
                </w:rPr>
                <w:t>phylaxis in leptospirosis in farmers</w:t>
              </w:r>
            </w:hyperlink>
            <w:r>
              <w:rPr>
                <w:sz w:val="20"/>
                <w:szCs w:val="20"/>
              </w:rPr>
              <w:t>. IRCT2015052322383N1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AA09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18E28A69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76E1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8580D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4">
              <w:r>
                <w:rPr>
                  <w:sz w:val="20"/>
                  <w:szCs w:val="20"/>
                </w:rPr>
                <w:t>Study of Decreasing Kinetics of the Leptospiremia During Antibiotic Treatment of Leptospirosis in Martinique</w:t>
              </w:r>
            </w:hyperlink>
            <w:r>
              <w:rPr>
                <w:sz w:val="20"/>
                <w:szCs w:val="20"/>
              </w:rPr>
              <w:t>. NCT02000635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BB0B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6C0ACD79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A9E6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6A888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5">
              <w:r>
                <w:rPr>
                  <w:sz w:val="20"/>
                  <w:szCs w:val="20"/>
                </w:rPr>
                <w:t>Proteomi</w:t>
              </w:r>
              <w:r>
                <w:rPr>
                  <w:sz w:val="20"/>
                  <w:szCs w:val="20"/>
                </w:rPr>
                <w:t>cs study in patients with severe malaria</w:t>
              </w:r>
            </w:hyperlink>
            <w:r>
              <w:rPr>
                <w:sz w:val="20"/>
                <w:szCs w:val="20"/>
              </w:rPr>
              <w:t>. CTRI/2013/08/003876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4A4A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6B9AC2C6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9DEE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CA0C8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6">
              <w:r>
                <w:rPr>
                  <w:sz w:val="20"/>
                  <w:szCs w:val="20"/>
                </w:rPr>
                <w:t xml:space="preserve">Rapid Diagnostic Tests and Clinical/Laboratory Predictors of Tropical Diseases </w:t>
              </w:r>
              <w:proofErr w:type="gramStart"/>
              <w:r>
                <w:rPr>
                  <w:sz w:val="20"/>
                  <w:szCs w:val="20"/>
                </w:rPr>
                <w:t>In</w:t>
              </w:r>
              <w:proofErr w:type="gramEnd"/>
              <w:r>
                <w:rPr>
                  <w:sz w:val="20"/>
                  <w:szCs w:val="20"/>
                </w:rPr>
                <w:t xml:space="preserve"> Patients With Persistent Fever in Cambodia, Nepal, Democratic Republic of the Congo and Suda</w:t>
              </w:r>
              <w:r>
                <w:rPr>
                  <w:sz w:val="20"/>
                  <w:szCs w:val="20"/>
                </w:rPr>
                <w:t>n (NIDIAG-Fever)</w:t>
              </w:r>
            </w:hyperlink>
            <w:r>
              <w:rPr>
                <w:sz w:val="20"/>
                <w:szCs w:val="20"/>
              </w:rPr>
              <w:t>. NCT01766830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F318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393C39B9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04B7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4B1C7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7">
              <w:r>
                <w:rPr>
                  <w:sz w:val="20"/>
                  <w:szCs w:val="20"/>
                </w:rPr>
                <w:t>French West Indies Leptospirosis Study</w:t>
              </w:r>
            </w:hyperlink>
            <w:r>
              <w:rPr>
                <w:sz w:val="20"/>
                <w:szCs w:val="20"/>
              </w:rPr>
              <w:t>. NCT01607047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FC35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questions not answered</w:t>
            </w:r>
          </w:p>
        </w:tc>
      </w:tr>
      <w:tr w:rsidR="00A11899" w14:paraId="2A5848A6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3816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78193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8">
              <w:r>
                <w:rPr>
                  <w:sz w:val="20"/>
                  <w:szCs w:val="20"/>
                </w:rPr>
                <w:t>Usefulness of homoeopathic medicines in the management of Leptospirosis.</w:t>
              </w:r>
            </w:hyperlink>
            <w:r>
              <w:rPr>
                <w:sz w:val="20"/>
                <w:szCs w:val="20"/>
              </w:rPr>
              <w:t xml:space="preserve"> CTRI/2008/091/000183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DF95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people excluded</w:t>
            </w:r>
          </w:p>
        </w:tc>
      </w:tr>
      <w:tr w:rsidR="00A11899" w14:paraId="3ADE39F9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C2FA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FACEA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9">
              <w:r>
                <w:rPr>
                  <w:sz w:val="20"/>
                  <w:szCs w:val="20"/>
                </w:rPr>
                <w:t xml:space="preserve">Use of corticosteroids in pulmonary leptospirosis: a </w:t>
              </w:r>
              <w:proofErr w:type="spellStart"/>
              <w:r>
                <w:rPr>
                  <w:sz w:val="20"/>
                  <w:szCs w:val="20"/>
                </w:rPr>
                <w:t>randomised</w:t>
              </w:r>
              <w:proofErr w:type="spellEnd"/>
              <w:r>
                <w:rPr>
                  <w:sz w:val="20"/>
                  <w:szCs w:val="20"/>
                </w:rPr>
                <w:t xml:space="preserve"> double-blind clinical trial</w:t>
              </w:r>
            </w:hyperlink>
            <w:r>
              <w:rPr>
                <w:sz w:val="20"/>
                <w:szCs w:val="20"/>
              </w:rPr>
              <w:t>. ISRCTN74625030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5A6A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people excluded</w:t>
            </w:r>
          </w:p>
        </w:tc>
      </w:tr>
      <w:tr w:rsidR="00A11899" w14:paraId="64CBE52B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D866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4C42E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20">
              <w:r>
                <w:rPr>
                  <w:sz w:val="20"/>
                  <w:szCs w:val="20"/>
                </w:rPr>
                <w:t>Desmopressin and Dexamethasone Adjunctive Treatment for Leptospirosis</w:t>
              </w:r>
            </w:hyperlink>
            <w:r>
              <w:rPr>
                <w:sz w:val="20"/>
                <w:szCs w:val="20"/>
              </w:rPr>
              <w:t>. NCT00592566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EDC1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people excluded</w:t>
            </w:r>
          </w:p>
        </w:tc>
      </w:tr>
      <w:tr w:rsidR="00A11899" w14:paraId="501F5387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9D93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11360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Homoeopathy as </w:t>
            </w: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add on treatment for severe Leptospirosis patients on conventional care. CTRI/20</w:t>
            </w:r>
            <w:r>
              <w:rPr>
                <w:sz w:val="20"/>
                <w:szCs w:val="20"/>
              </w:rPr>
              <w:t>12/01/002316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3732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people excluded</w:t>
            </w:r>
          </w:p>
        </w:tc>
      </w:tr>
      <w:tr w:rsidR="00A11899" w14:paraId="4B525D19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3E21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05AE5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Factors and Chemoprophylaxis for Leptospirosis Infection during Urban Flooding in Southern Thailand: A Case-Control Study. TCTR20131106001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D409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people excluded</w:t>
            </w:r>
          </w:p>
        </w:tc>
      </w:tr>
      <w:tr w:rsidR="00A11899" w14:paraId="6B42B90B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5D6D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EF42B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21">
              <w:r>
                <w:rPr>
                  <w:sz w:val="20"/>
                  <w:szCs w:val="20"/>
                </w:rPr>
                <w:t>‘Effectiveness and safety of the use of N-acetylcysteine in patients with kidney failure in leptospirosis’</w:t>
              </w:r>
            </w:hyperlink>
            <w:r>
              <w:rPr>
                <w:sz w:val="20"/>
                <w:szCs w:val="20"/>
              </w:rPr>
              <w:t>. SLCTR/2018/016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D9BC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people excluded</w:t>
            </w:r>
          </w:p>
        </w:tc>
      </w:tr>
      <w:tr w:rsidR="00A11899" w14:paraId="7C5ECC23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BA3A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23E2E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22">
              <w:r>
                <w:rPr>
                  <w:sz w:val="20"/>
                  <w:szCs w:val="20"/>
                </w:rPr>
                <w:t xml:space="preserve">Plasma exchange for lung </w:t>
              </w:r>
              <w:proofErr w:type="spellStart"/>
              <w:r>
                <w:rPr>
                  <w:sz w:val="20"/>
                  <w:szCs w:val="20"/>
                </w:rPr>
                <w:t>haemorrhages</w:t>
              </w:r>
              <w:proofErr w:type="spellEnd"/>
              <w:r>
                <w:rPr>
                  <w:sz w:val="20"/>
                  <w:szCs w:val="20"/>
                </w:rPr>
                <w:t xml:space="preserve"> in leptospirosis</w:t>
              </w:r>
            </w:hyperlink>
            <w:r>
              <w:rPr>
                <w:sz w:val="20"/>
                <w:szCs w:val="20"/>
              </w:rPr>
              <w:t>. SLCTR/2018/013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2EF9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people excluded</w:t>
            </w:r>
          </w:p>
        </w:tc>
      </w:tr>
      <w:tr w:rsidR="00A11899" w14:paraId="5D696DBC" w14:textId="77777777">
        <w:trPr>
          <w:trHeight w:val="360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5812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18007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Comparing Two Antibiotic Therapy Periods (3 Versus 7 Days) in Patients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Mild Leptospirosis and Seen at the Hospital in 5 French Overseas Departments (Martinique, Guadeloupe, French Guiana, Reunion, Mayotte). NCT04211649</w:t>
            </w:r>
          </w:p>
          <w:p w14:paraId="5AB99669" w14:textId="77777777" w:rsidR="00A11899" w:rsidRDefault="00A118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1C61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people excluded</w:t>
            </w:r>
          </w:p>
        </w:tc>
      </w:tr>
      <w:tr w:rsidR="00A11899" w14:paraId="22FCCAD3" w14:textId="77777777">
        <w:trPr>
          <w:trHeight w:val="645"/>
        </w:trPr>
        <w:tc>
          <w:tcPr>
            <w:tcW w:w="1140" w:type="dxa"/>
            <w:vMerge/>
            <w:tcBorders>
              <w:right w:val="single" w:sz="6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9D7D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D963C" w14:textId="77777777" w:rsidR="00A11899" w:rsidRDefault="002D3FFE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</w:t>
            </w:r>
            <w:r>
              <w:rPr>
                <w:sz w:val="20"/>
                <w:szCs w:val="20"/>
              </w:rPr>
              <w:t xml:space="preserve"> factors for kidney damage in leptospirosis in infection. </w:t>
            </w:r>
            <w:r>
              <w:rPr>
                <w:color w:val="333333"/>
                <w:sz w:val="20"/>
                <w:szCs w:val="20"/>
              </w:rPr>
              <w:t>CTRI/2018/09/015849</w:t>
            </w:r>
          </w:p>
        </w:tc>
        <w:tc>
          <w:tcPr>
            <w:tcW w:w="246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3CC3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information available</w:t>
            </w:r>
          </w:p>
        </w:tc>
      </w:tr>
      <w:tr w:rsidR="00A11899" w14:paraId="0E9F2BF9" w14:textId="77777777">
        <w:trPr>
          <w:trHeight w:val="360"/>
        </w:trPr>
        <w:tc>
          <w:tcPr>
            <w:tcW w:w="114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CD27" w14:textId="77777777" w:rsidR="00A11899" w:rsidRDefault="00A118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3C77" w14:textId="77777777" w:rsidR="00A11899" w:rsidRDefault="002D3FF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effectiveness of N-</w:t>
            </w:r>
            <w:proofErr w:type="spellStart"/>
            <w:r>
              <w:rPr>
                <w:sz w:val="20"/>
                <w:szCs w:val="20"/>
              </w:rPr>
              <w:t>acetylcystein</w:t>
            </w:r>
            <w:proofErr w:type="spellEnd"/>
            <w:r>
              <w:rPr>
                <w:sz w:val="20"/>
                <w:szCs w:val="20"/>
              </w:rPr>
              <w:t xml:space="preserve"> (NAC) on accelerating renal failure recovery. IRCT20190727044343N4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7F44" w14:textId="77777777" w:rsidR="00A11899" w:rsidRDefault="002D3F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information available</w:t>
            </w:r>
          </w:p>
        </w:tc>
      </w:tr>
    </w:tbl>
    <w:p w14:paraId="0B66A1E3" w14:textId="77777777" w:rsidR="00A11899" w:rsidRDefault="00A11899">
      <w:pPr>
        <w:rPr>
          <w:sz w:val="20"/>
          <w:szCs w:val="20"/>
        </w:rPr>
      </w:pPr>
    </w:p>
    <w:p w14:paraId="7B5D3E4E" w14:textId="77777777" w:rsidR="00A11899" w:rsidRDefault="00A11899"/>
    <w:sectPr w:rsidR="00A118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C7756"/>
    <w:multiLevelType w:val="multilevel"/>
    <w:tmpl w:val="F09E8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99"/>
    <w:rsid w:val="002D3FFE"/>
    <w:rsid w:val="00A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9BF82"/>
  <w15:docId w15:val="{D8A6B018-9CF9-9B48-A3FB-F2188BB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trialsearch/Trial2.aspx?TrialID=CTRI/2020/03/024355" TargetMode="External"/><Relationship Id="rId13" Type="http://schemas.openxmlformats.org/officeDocument/2006/relationships/hyperlink" Target="https://apps.who.int/trialsearch/Trial2.aspx?TrialID=IRCT2015052322383N1" TargetMode="External"/><Relationship Id="rId18" Type="http://schemas.openxmlformats.org/officeDocument/2006/relationships/hyperlink" Target="https://apps.who.int/trialsearch/Trial2.aspx?TrialID=CTRI/2008/091/0001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who.int/trialsearch/Trial2.aspx?TrialID=SLCTR/2018/016" TargetMode="External"/><Relationship Id="rId7" Type="http://schemas.openxmlformats.org/officeDocument/2006/relationships/hyperlink" Target="https://apps.who.int/trialsearch/Trial2.aspx?TrialID=CTRI/2020/06/026174" TargetMode="External"/><Relationship Id="rId12" Type="http://schemas.openxmlformats.org/officeDocument/2006/relationships/hyperlink" Target="https://apps.who.int/trialsearch/Trial2.aspx?TrialID=NCT02898519" TargetMode="External"/><Relationship Id="rId17" Type="http://schemas.openxmlformats.org/officeDocument/2006/relationships/hyperlink" Target="https://apps.who.int/trialsearch/Trial2.aspx?TrialID=NCT016070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who.int/trialsearch/Trial2.aspx?TrialID=NCT01766830" TargetMode="External"/><Relationship Id="rId20" Type="http://schemas.openxmlformats.org/officeDocument/2006/relationships/hyperlink" Target="https://apps.who.int/trialsearch/Trial2.aspx?TrialID=NCT005925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1201971215001642" TargetMode="External"/><Relationship Id="rId11" Type="http://schemas.openxmlformats.org/officeDocument/2006/relationships/hyperlink" Target="https://apps.who.int/trialsearch/Trial2.aspx?TrialID=ACTRN1261700019337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google.com/document/d/1bgWEKFrXw8CwHdV_-bVBSsywwgw6HAC4CIxaVOXgW9U/edit?pli=1" TargetMode="External"/><Relationship Id="rId15" Type="http://schemas.openxmlformats.org/officeDocument/2006/relationships/hyperlink" Target="https://apps.who.int/trialsearch/Trial2.aspx?TrialID=CTRI/2013/08/0038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ps.who.int/trialsearch/Trial2.aspx?TrialID=NCT03497572" TargetMode="External"/><Relationship Id="rId19" Type="http://schemas.openxmlformats.org/officeDocument/2006/relationships/hyperlink" Target="https://apps.who.int/trialsearch/Trial2.aspx?TrialID=ISRCTN74625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ho.int/trialsearch/Trial2.aspx?TrialID=CTRI/2020/02/023253" TargetMode="External"/><Relationship Id="rId14" Type="http://schemas.openxmlformats.org/officeDocument/2006/relationships/hyperlink" Target="https://apps.who.int/trialsearch/Trial2.aspx?TrialID=NCT02000635" TargetMode="External"/><Relationship Id="rId22" Type="http://schemas.openxmlformats.org/officeDocument/2006/relationships/hyperlink" Target="https://apps.who.int/trialsearch/Trial2.aspx?TrialID=SLCTR/2018/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Hornby, Joseph (J.E.)</cp:lastModifiedBy>
  <cp:revision>2</cp:revision>
  <dcterms:created xsi:type="dcterms:W3CDTF">2021-09-02T18:17:00Z</dcterms:created>
  <dcterms:modified xsi:type="dcterms:W3CDTF">2021-09-02T18:17:00Z</dcterms:modified>
</cp:coreProperties>
</file>