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3" w:rsidRPr="00C038CC" w:rsidRDefault="00C038CC">
      <w:pPr>
        <w:rPr>
          <w:rFonts w:ascii="Arial" w:hAnsi="Arial" w:cs="Arial"/>
          <w:sz w:val="24"/>
        </w:rPr>
      </w:pPr>
      <w:r w:rsidRPr="00C038CC">
        <w:rPr>
          <w:rFonts w:ascii="Arial" w:hAnsi="Arial" w:cs="Arial"/>
          <w:sz w:val="24"/>
        </w:rPr>
        <w:t>(A)</w:t>
      </w:r>
    </w:p>
    <w:p w:rsidR="009E64E3" w:rsidRPr="00C038CC" w:rsidRDefault="009E64E3">
      <w:pPr>
        <w:rPr>
          <w:rFonts w:ascii="Arial" w:hAnsi="Arial" w:cs="Arial"/>
        </w:rPr>
      </w:pPr>
    </w:p>
    <w:p w:rsidR="00D002D6" w:rsidRPr="00C038CC" w:rsidRDefault="009E64E3">
      <w:pPr>
        <w:rPr>
          <w:rFonts w:ascii="Arial" w:hAnsi="Arial" w:cs="Arial"/>
        </w:rPr>
      </w:pPr>
      <w:r w:rsidRPr="00C038CC">
        <w:rPr>
          <w:rFonts w:ascii="Arial" w:hAnsi="Arial" w:cs="Arial"/>
          <w:noProof/>
        </w:rPr>
        <w:drawing>
          <wp:inline distT="0" distB="0" distL="0" distR="0">
            <wp:extent cx="7620000" cy="36099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3C89" w:rsidRDefault="005E3C89" w:rsidP="004F4C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38CC" w:rsidRDefault="00C038CC" w:rsidP="004F4C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38CC" w:rsidRPr="00C038CC" w:rsidRDefault="00C038CC" w:rsidP="004F4C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C89" w:rsidRPr="00C038CC" w:rsidRDefault="005E3C89" w:rsidP="004F4C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C89" w:rsidRPr="00C038CC" w:rsidRDefault="005E3C89" w:rsidP="004F4C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38CC" w:rsidRPr="00C038CC" w:rsidRDefault="00C038CC" w:rsidP="004F4C05">
      <w:pPr>
        <w:rPr>
          <w:rFonts w:ascii="Arial" w:hAnsi="Arial" w:cs="Arial"/>
          <w:color w:val="000000" w:themeColor="text1"/>
          <w:sz w:val="24"/>
          <w:szCs w:val="24"/>
        </w:rPr>
      </w:pPr>
      <w:r w:rsidRPr="00C038CC">
        <w:rPr>
          <w:rFonts w:ascii="Arial" w:hAnsi="Arial" w:cs="Arial"/>
          <w:color w:val="000000" w:themeColor="text1"/>
          <w:sz w:val="24"/>
          <w:szCs w:val="24"/>
        </w:rPr>
        <w:lastRenderedPageBreak/>
        <w:t>(B)</w:t>
      </w:r>
    </w:p>
    <w:p w:rsidR="00C038CC" w:rsidRDefault="00C038CC" w:rsidP="004F4C05">
      <w:pPr>
        <w:rPr>
          <w:rFonts w:ascii="Arial" w:hAnsi="Arial" w:cs="Arial"/>
          <w:color w:val="000000" w:themeColor="text1"/>
          <w:sz w:val="24"/>
          <w:szCs w:val="24"/>
        </w:rPr>
      </w:pPr>
      <w:r w:rsidRPr="00C038C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7381875" cy="31908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38CC" w:rsidRDefault="00563483" w:rsidP="009A7ED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S1 Figure</w:t>
      </w:r>
      <w:r w:rsidR="00C038CC" w:rsidRPr="00C038C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C038CC" w:rsidRPr="00C038CC">
        <w:rPr>
          <w:rFonts w:ascii="Arial" w:hAnsi="Arial" w:cs="Arial"/>
          <w:color w:val="000000" w:themeColor="text1"/>
          <w:sz w:val="24"/>
          <w:szCs w:val="24"/>
        </w:rPr>
        <w:t xml:space="preserve"> Percent of samples with interpretable results </w:t>
      </w:r>
      <w:r w:rsidR="00C038CC">
        <w:rPr>
          <w:rFonts w:ascii="Arial" w:hAnsi="Arial" w:cs="Arial"/>
          <w:color w:val="000000" w:themeColor="text1"/>
          <w:sz w:val="24"/>
          <w:szCs w:val="24"/>
        </w:rPr>
        <w:t xml:space="preserve">and sequence coverage depth </w:t>
      </w:r>
      <w:r w:rsidR="00C038CC" w:rsidRPr="00C038CC">
        <w:rPr>
          <w:rFonts w:ascii="Arial" w:hAnsi="Arial" w:cs="Arial"/>
          <w:color w:val="000000" w:themeColor="text1"/>
          <w:sz w:val="24"/>
          <w:szCs w:val="24"/>
        </w:rPr>
        <w:t>per target gene segment</w:t>
      </w:r>
      <w:r w:rsidR="00C139A4">
        <w:rPr>
          <w:rFonts w:ascii="Arial" w:hAnsi="Arial" w:cs="Arial"/>
          <w:color w:val="000000" w:themeColor="text1"/>
          <w:sz w:val="24"/>
          <w:szCs w:val="24"/>
        </w:rPr>
        <w:t xml:space="preserve"> for scanty smears</w:t>
      </w:r>
      <w:r w:rsidR="00C038CC" w:rsidRPr="00C038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139A4">
        <w:rPr>
          <w:rFonts w:ascii="Arial" w:hAnsi="Arial" w:cs="Arial"/>
          <w:color w:val="000000" w:themeColor="text1"/>
          <w:sz w:val="24"/>
          <w:szCs w:val="24"/>
        </w:rPr>
        <w:t>A) Percent of scanty smears</w:t>
      </w:r>
      <w:r w:rsidR="00C038CC">
        <w:rPr>
          <w:rFonts w:ascii="Arial" w:hAnsi="Arial" w:cs="Arial"/>
          <w:color w:val="000000" w:themeColor="text1"/>
          <w:sz w:val="24"/>
          <w:szCs w:val="24"/>
        </w:rPr>
        <w:t xml:space="preserve"> (n=6) with interpretable results per target gene segment and all targets. </w:t>
      </w:r>
      <w:r w:rsidR="00C038CC" w:rsidRPr="00C038CC">
        <w:rPr>
          <w:rFonts w:ascii="Arial" w:hAnsi="Arial" w:cs="Arial"/>
          <w:color w:val="000000" w:themeColor="text1"/>
          <w:sz w:val="24"/>
          <w:szCs w:val="24"/>
        </w:rPr>
        <w:t xml:space="preserve">Interpretable result is defined as coverage depth of 20X or greater. </w:t>
      </w:r>
      <w:r w:rsidR="00C038CC">
        <w:rPr>
          <w:rFonts w:ascii="Arial" w:hAnsi="Arial" w:cs="Arial"/>
          <w:color w:val="000000" w:themeColor="text1"/>
          <w:sz w:val="24"/>
          <w:szCs w:val="24"/>
        </w:rPr>
        <w:t>B) Sequence coverage depth (median number of mapped reads) per target gene segment f</w:t>
      </w:r>
      <w:r w:rsidR="00C139A4">
        <w:rPr>
          <w:rFonts w:ascii="Arial" w:hAnsi="Arial" w:cs="Arial"/>
          <w:color w:val="000000" w:themeColor="text1"/>
          <w:sz w:val="24"/>
          <w:szCs w:val="24"/>
        </w:rPr>
        <w:t>or scanty smears</w:t>
      </w:r>
      <w:r w:rsidR="00C038CC">
        <w:rPr>
          <w:rFonts w:ascii="Arial" w:hAnsi="Arial" w:cs="Arial"/>
          <w:color w:val="000000" w:themeColor="text1"/>
          <w:sz w:val="24"/>
          <w:szCs w:val="24"/>
        </w:rPr>
        <w:t xml:space="preserve"> (n=6). </w:t>
      </w:r>
    </w:p>
    <w:p w:rsidR="00B27DD1" w:rsidRDefault="00B27DD1" w:rsidP="00C038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4C05" w:rsidRPr="00C038CC" w:rsidRDefault="004F4C05">
      <w:pPr>
        <w:rPr>
          <w:rFonts w:ascii="Arial" w:hAnsi="Arial" w:cs="Arial"/>
        </w:rPr>
      </w:pPr>
    </w:p>
    <w:sectPr w:rsidR="004F4C05" w:rsidRPr="00C038CC" w:rsidSect="00D002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2D6"/>
    <w:rsid w:val="0003215C"/>
    <w:rsid w:val="002F3814"/>
    <w:rsid w:val="003A7C3D"/>
    <w:rsid w:val="003F184E"/>
    <w:rsid w:val="004F4C05"/>
    <w:rsid w:val="005343F7"/>
    <w:rsid w:val="00563483"/>
    <w:rsid w:val="005E3C89"/>
    <w:rsid w:val="009A7ED5"/>
    <w:rsid w:val="009E64E3"/>
    <w:rsid w:val="00B27DD1"/>
    <w:rsid w:val="00C038CC"/>
    <w:rsid w:val="00C139A4"/>
    <w:rsid w:val="00D002D6"/>
    <w:rsid w:val="00E40B52"/>
    <w:rsid w:val="00F2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zz\Documents\AFB_Manuscript_Figures%202-3%20and%20supplement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zz\Documents\AFB_Manuscript_Figures%202-3%20and%20supplemen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3"/>
          <c:order val="0"/>
          <c:tx>
            <c:v>Scanty</c:v>
          </c:tx>
          <c:spPr>
            <a:solidFill>
              <a:srgbClr val="0070C0"/>
            </a:solidFill>
          </c:spPr>
          <c:cat>
            <c:strRef>
              <c:f>'Figure S1'!$A$3:$A$20</c:f>
              <c:strCache>
                <c:ptCount val="18"/>
                <c:pt idx="0">
                  <c:v>emb40</c:v>
                </c:pt>
                <c:pt idx="1">
                  <c:v>rpsL0</c:v>
                </c:pt>
                <c:pt idx="2">
                  <c:v>eis promoter</c:v>
                </c:pt>
                <c:pt idx="3">
                  <c:v>rpoB</c:v>
                </c:pt>
                <c:pt idx="4">
                  <c:v>emb20</c:v>
                </c:pt>
                <c:pt idx="5">
                  <c:v>emb10</c:v>
                </c:pt>
                <c:pt idx="6">
                  <c:v>katG</c:v>
                </c:pt>
                <c:pt idx="7">
                  <c:v>pncA1</c:v>
                </c:pt>
                <c:pt idx="8">
                  <c:v>pncA0</c:v>
                </c:pt>
                <c:pt idx="9">
                  <c:v>pncA2</c:v>
                </c:pt>
                <c:pt idx="10">
                  <c:v>rpsL1</c:v>
                </c:pt>
                <c:pt idx="11">
                  <c:v>rrs30</c:v>
                </c:pt>
                <c:pt idx="12">
                  <c:v>gyrA</c:v>
                </c:pt>
                <c:pt idx="13">
                  <c:v>rrs10</c:v>
                </c:pt>
                <c:pt idx="14">
                  <c:v>pncA3</c:v>
                </c:pt>
                <c:pt idx="15">
                  <c:v>inhA promoter</c:v>
                </c:pt>
                <c:pt idx="16">
                  <c:v>gyrB</c:v>
                </c:pt>
                <c:pt idx="17">
                  <c:v>All targets</c:v>
                </c:pt>
              </c:strCache>
            </c:strRef>
          </c:cat>
          <c:val>
            <c:numRef>
              <c:f>'Figure S1'!$B$3:$B$20</c:f>
              <c:numCache>
                <c:formatCode>General</c:formatCode>
                <c:ptCount val="18"/>
                <c:pt idx="0">
                  <c:v>0</c:v>
                </c:pt>
                <c:pt idx="1">
                  <c:v>67</c:v>
                </c:pt>
                <c:pt idx="2">
                  <c:v>83</c:v>
                </c:pt>
                <c:pt idx="3">
                  <c:v>83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  <c:pt idx="10">
                  <c:v>50</c:v>
                </c:pt>
                <c:pt idx="11">
                  <c:v>33</c:v>
                </c:pt>
                <c:pt idx="12">
                  <c:v>33</c:v>
                </c:pt>
                <c:pt idx="13">
                  <c:v>33</c:v>
                </c:pt>
                <c:pt idx="14">
                  <c:v>50</c:v>
                </c:pt>
                <c:pt idx="15">
                  <c:v>33</c:v>
                </c:pt>
                <c:pt idx="16">
                  <c:v>50</c:v>
                </c:pt>
                <c:pt idx="17">
                  <c:v>0</c:v>
                </c:pt>
              </c:numCache>
            </c:numRef>
          </c:val>
        </c:ser>
        <c:axId val="42694144"/>
        <c:axId val="42700800"/>
      </c:barChart>
      <c:catAx>
        <c:axId val="42694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Target Gene Segment</a:t>
                </a:r>
              </a:p>
            </c:rich>
          </c:tx>
          <c:layout>
            <c:manualLayout>
              <c:xMode val="edge"/>
              <c:yMode val="edge"/>
              <c:x val="0.39175355175146481"/>
              <c:y val="0.8509025955088968"/>
            </c:manualLayout>
          </c:layout>
        </c:title>
        <c:tickLblPos val="nextTo"/>
        <c:crossAx val="42700800"/>
        <c:crosses val="autoZero"/>
        <c:auto val="1"/>
        <c:lblAlgn val="ctr"/>
        <c:lblOffset val="100"/>
      </c:catAx>
      <c:valAx>
        <c:axId val="42700800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of Samples with Interpretable Results</a:t>
                </a:r>
              </a:p>
            </c:rich>
          </c:tx>
          <c:layout>
            <c:manualLayout>
              <c:xMode val="edge"/>
              <c:yMode val="edge"/>
              <c:x val="2.5488451443569558E-2"/>
              <c:y val="1.6621444746847295E-2"/>
            </c:manualLayout>
          </c:layout>
        </c:title>
        <c:numFmt formatCode="General" sourceLinked="1"/>
        <c:tickLblPos val="nextTo"/>
        <c:crossAx val="426941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v>Scanty Samples</c:v>
          </c:tx>
          <c:cat>
            <c:strRef>
              <c:f>'Figure S1'!$Q$31:$Q$47</c:f>
              <c:strCache>
                <c:ptCount val="17"/>
                <c:pt idx="0">
                  <c:v>eis</c:v>
                </c:pt>
                <c:pt idx="1">
                  <c:v>emb10</c:v>
                </c:pt>
                <c:pt idx="2">
                  <c:v>emb20</c:v>
                </c:pt>
                <c:pt idx="3">
                  <c:v>emb-40</c:v>
                </c:pt>
                <c:pt idx="4">
                  <c:v>gyrA</c:v>
                </c:pt>
                <c:pt idx="5">
                  <c:v>gyrB</c:v>
                </c:pt>
                <c:pt idx="6">
                  <c:v>inhA Promoter</c:v>
                </c:pt>
                <c:pt idx="7">
                  <c:v>KatG</c:v>
                </c:pt>
                <c:pt idx="8">
                  <c:v>pncA0</c:v>
                </c:pt>
                <c:pt idx="9">
                  <c:v>pncA1</c:v>
                </c:pt>
                <c:pt idx="10">
                  <c:v>pncA2</c:v>
                </c:pt>
                <c:pt idx="11">
                  <c:v>pncA3</c:v>
                </c:pt>
                <c:pt idx="12">
                  <c:v>rpoB</c:v>
                </c:pt>
                <c:pt idx="13">
                  <c:v>rpsL0</c:v>
                </c:pt>
                <c:pt idx="14">
                  <c:v>rpsL1</c:v>
                </c:pt>
                <c:pt idx="15">
                  <c:v>rrs10</c:v>
                </c:pt>
                <c:pt idx="16">
                  <c:v>rrs30</c:v>
                </c:pt>
              </c:strCache>
            </c:strRef>
          </c:cat>
          <c:val>
            <c:numRef>
              <c:f>'Figure S1'!$R$31:$R$47</c:f>
              <c:numCache>
                <c:formatCode>General</c:formatCode>
                <c:ptCount val="17"/>
                <c:pt idx="0">
                  <c:v>2541</c:v>
                </c:pt>
                <c:pt idx="1">
                  <c:v>15.5</c:v>
                </c:pt>
                <c:pt idx="2">
                  <c:v>1231</c:v>
                </c:pt>
                <c:pt idx="3">
                  <c:v>2</c:v>
                </c:pt>
                <c:pt idx="4">
                  <c:v>2.5</c:v>
                </c:pt>
                <c:pt idx="5">
                  <c:v>21.5</c:v>
                </c:pt>
                <c:pt idx="6">
                  <c:v>11</c:v>
                </c:pt>
                <c:pt idx="7">
                  <c:v>17.5</c:v>
                </c:pt>
                <c:pt idx="8">
                  <c:v>65</c:v>
                </c:pt>
                <c:pt idx="9">
                  <c:v>511</c:v>
                </c:pt>
                <c:pt idx="10">
                  <c:v>84</c:v>
                </c:pt>
                <c:pt idx="11">
                  <c:v>13.5</c:v>
                </c:pt>
                <c:pt idx="12">
                  <c:v>203</c:v>
                </c:pt>
                <c:pt idx="13">
                  <c:v>1045.5</c:v>
                </c:pt>
                <c:pt idx="14">
                  <c:v>16.5</c:v>
                </c:pt>
                <c:pt idx="15">
                  <c:v>9.5</c:v>
                </c:pt>
                <c:pt idx="16">
                  <c:v>5</c:v>
                </c:pt>
              </c:numCache>
            </c:numRef>
          </c:val>
        </c:ser>
        <c:axId val="42708352"/>
        <c:axId val="42718720"/>
      </c:barChart>
      <c:catAx>
        <c:axId val="42708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Target Gene Segments</a:t>
                </a:r>
              </a:p>
            </c:rich>
          </c:tx>
          <c:layout>
            <c:manualLayout>
              <c:xMode val="edge"/>
              <c:yMode val="edge"/>
              <c:x val="0.36998919651172635"/>
              <c:y val="0.89296572256826101"/>
            </c:manualLayout>
          </c:layout>
        </c:title>
        <c:tickLblPos val="nextTo"/>
        <c:crossAx val="42718720"/>
        <c:crosses val="autoZero"/>
        <c:auto val="1"/>
        <c:lblAlgn val="ctr"/>
        <c:lblOffset val="100"/>
      </c:catAx>
      <c:valAx>
        <c:axId val="4271872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Median Number of Mapped Reads</a:t>
                </a:r>
              </a:p>
            </c:rich>
          </c:tx>
          <c:layout/>
        </c:title>
        <c:numFmt formatCode="General" sourceLinked="1"/>
        <c:tickLblPos val="nextTo"/>
        <c:crossAx val="427083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</dc:creator>
  <cp:lastModifiedBy>mazz</cp:lastModifiedBy>
  <cp:revision>7</cp:revision>
  <dcterms:created xsi:type="dcterms:W3CDTF">2020-01-01T21:33:00Z</dcterms:created>
  <dcterms:modified xsi:type="dcterms:W3CDTF">2020-02-25T04:14:00Z</dcterms:modified>
</cp:coreProperties>
</file>