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34" w:rsidRDefault="00D42C68" w:rsidP="00E11734">
      <w:pPr>
        <w:pStyle w:val="SMHeading"/>
        <w:pageBreakBefore/>
        <w:spacing w:line="360" w:lineRule="auto"/>
        <w:jc w:val="both"/>
      </w:pPr>
      <w:r>
        <w:rPr>
          <w:rFonts w:eastAsia="Calibri" w:cs="Arial"/>
          <w:szCs w:val="20"/>
        </w:rPr>
        <w:t xml:space="preserve">S3 </w:t>
      </w:r>
      <w:r w:rsidR="00E11734">
        <w:rPr>
          <w:rFonts w:eastAsia="Calibri" w:cs="Arial"/>
          <w:szCs w:val="20"/>
        </w:rPr>
        <w:t>Table</w:t>
      </w:r>
      <w:bookmarkStart w:id="0" w:name="_GoBack"/>
      <w:bookmarkEnd w:id="0"/>
      <w:r w:rsidR="00E11734">
        <w:rPr>
          <w:rFonts w:eastAsia="Calibri" w:cs="Arial"/>
          <w:szCs w:val="20"/>
        </w:rPr>
        <w:t xml:space="preserve">. </w:t>
      </w:r>
      <w:proofErr w:type="spellStart"/>
      <w:r w:rsidR="00E11734">
        <w:rPr>
          <w:rFonts w:eastAsia="Calibri" w:cs="Arial"/>
          <w:szCs w:val="20"/>
        </w:rPr>
        <w:t>TruSeq</w:t>
      </w:r>
      <w:proofErr w:type="spellEnd"/>
      <w:r w:rsidR="00E11734">
        <w:rPr>
          <w:rFonts w:eastAsia="Calibri" w:cs="Arial"/>
          <w:szCs w:val="20"/>
        </w:rPr>
        <w:t>® Stranded mRNA Illumina sequencing results and coverage for each condition.</w:t>
      </w:r>
    </w:p>
    <w:tbl>
      <w:tblPr>
        <w:tblW w:w="0" w:type="auto"/>
        <w:tblInd w:w="-5" w:type="dxa"/>
        <w:tblLayout w:type="fixed"/>
        <w:tblCellMar>
          <w:top w:w="15" w:type="dxa"/>
          <w:left w:w="5" w:type="dxa"/>
          <w:right w:w="15" w:type="dxa"/>
        </w:tblCellMar>
        <w:tblLook w:val="0000" w:firstRow="0" w:lastRow="0" w:firstColumn="0" w:lastColumn="0" w:noHBand="0" w:noVBand="0"/>
      </w:tblPr>
      <w:tblGrid>
        <w:gridCol w:w="974"/>
        <w:gridCol w:w="1695"/>
        <w:gridCol w:w="1273"/>
        <w:gridCol w:w="704"/>
        <w:gridCol w:w="706"/>
        <w:gridCol w:w="981"/>
        <w:gridCol w:w="981"/>
        <w:gridCol w:w="1352"/>
      </w:tblGrid>
      <w:tr w:rsidR="00E11734" w:rsidTr="00073B05">
        <w:trPr>
          <w:trHeight w:val="340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Sample ID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Total read bases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bp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)</w:t>
            </w:r>
          </w:p>
        </w:tc>
        <w:tc>
          <w:tcPr>
            <w:tcW w:w="1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 xml:space="preserve">Total reads </w:t>
            </w:r>
            <w:r w:rsidRPr="00D1231F">
              <w:rPr>
                <w:rFonts w:ascii="Arial" w:hAnsi="Arial" w:cs="Arial"/>
                <w:b/>
                <w:bCs/>
                <w:color w:val="000000"/>
                <w:position w:val="6"/>
                <w:sz w:val="20"/>
                <w:vertAlign w:val="superscript"/>
                <w:lang w:eastAsia="en-AU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 xml:space="preserve"> (N)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GC (%)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AT (%)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  <w:rPr>
                <w:rFonts w:ascii="Arial" w:hAnsi="Arial" w:cs="Arial"/>
                <w:b/>
                <w:bCs/>
                <w:color w:val="000000"/>
                <w:position w:val="6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Q20 (%)</w:t>
            </w:r>
            <w:r w:rsidRPr="00D1231F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  <w:lang w:eastAsia="en-AU"/>
              </w:rPr>
              <w:t xml:space="preserve"> </w:t>
            </w:r>
            <w:r w:rsidRPr="00D1231F">
              <w:rPr>
                <w:rFonts w:ascii="Arial" w:hAnsi="Arial" w:cs="Arial"/>
                <w:b/>
                <w:bCs/>
                <w:color w:val="000000"/>
                <w:position w:val="6"/>
                <w:sz w:val="20"/>
                <w:vertAlign w:val="superscript"/>
                <w:lang w:eastAsia="en-AU"/>
              </w:rPr>
              <w:t>b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  <w:rPr>
                <w:rFonts w:ascii="Arial" w:hAnsi="Arial" w:cs="Arial"/>
                <w:b/>
                <w:bCs/>
                <w:color w:val="000000"/>
                <w:position w:val="6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 xml:space="preserve">Q30 (%) </w:t>
            </w:r>
            <w:r w:rsidRPr="00D1231F">
              <w:rPr>
                <w:rFonts w:ascii="Arial" w:hAnsi="Arial" w:cs="Arial"/>
                <w:b/>
                <w:bCs/>
                <w:color w:val="000000"/>
                <w:position w:val="6"/>
                <w:sz w:val="20"/>
                <w:vertAlign w:val="superscript"/>
                <w:lang w:eastAsia="en-AU"/>
              </w:rPr>
              <w:t>c</w:t>
            </w:r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AU" w:eastAsia="en-AU"/>
              </w:rPr>
              <w:t xml:space="preserve">Coverage </w:t>
            </w:r>
            <w:r w:rsidRPr="00D1231F">
              <w:rPr>
                <w:rFonts w:ascii="Arial" w:hAnsi="Arial" w:cs="Arial"/>
                <w:b/>
                <w:bCs/>
                <w:color w:val="000000"/>
                <w:position w:val="6"/>
                <w:sz w:val="20"/>
                <w:vertAlign w:val="superscript"/>
                <w:lang w:val="en-AU" w:eastAsia="en-AU"/>
              </w:rPr>
              <w:t>d</w:t>
            </w:r>
            <w:r w:rsidRPr="00D1231F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  <w:lang w:val="en-AU" w:eastAsia="en-AU"/>
              </w:rPr>
              <w:t xml:space="preserve"> </w:t>
            </w:r>
          </w:p>
        </w:tc>
      </w:tr>
      <w:tr w:rsidR="00E11734" w:rsidTr="00073B05">
        <w:trPr>
          <w:trHeight w:val="340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NP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22,467,804,106</w:t>
            </w:r>
          </w:p>
        </w:tc>
        <w:tc>
          <w:tcPr>
            <w:tcW w:w="1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222,453,506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54.59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45.41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97.96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94.54</w:t>
            </w:r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line="360" w:lineRule="auto"/>
              <w:jc w:val="both"/>
              <w:textAlignment w:val="top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2055x</w:t>
            </w:r>
          </w:p>
        </w:tc>
      </w:tr>
      <w:tr w:rsidR="00E11734" w:rsidTr="00073B05">
        <w:trPr>
          <w:trHeight w:val="340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6"/>
                <w:sz w:val="20"/>
                <w:lang w:eastAsia="en-AU"/>
              </w:rPr>
              <w:t>ardC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6"/>
                <w:sz w:val="20"/>
                <w:lang w:eastAsia="en-AU"/>
              </w:rPr>
              <w:t xml:space="preserve"> +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19,110,456,642</w:t>
            </w:r>
          </w:p>
        </w:tc>
        <w:tc>
          <w:tcPr>
            <w:tcW w:w="1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189,212,442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54.55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45.45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97.95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94.45</w:t>
            </w:r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line="360" w:lineRule="auto"/>
              <w:jc w:val="both"/>
              <w:textAlignment w:val="top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1743x</w:t>
            </w:r>
          </w:p>
        </w:tc>
      </w:tr>
      <w:tr w:rsidR="00E11734" w:rsidTr="00073B05">
        <w:trPr>
          <w:trHeight w:val="225"/>
        </w:trPr>
        <w:tc>
          <w:tcPr>
            <w:tcW w:w="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6"/>
                <w:sz w:val="20"/>
                <w:lang w:eastAsia="en-AU"/>
              </w:rPr>
              <w:t>ardC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6"/>
                <w:sz w:val="20"/>
                <w:lang w:eastAsia="en-AU"/>
              </w:rPr>
              <w:t xml:space="preserve"> -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23,255,871,352</w:t>
            </w:r>
          </w:p>
        </w:tc>
        <w:tc>
          <w:tcPr>
            <w:tcW w:w="1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230,256,152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56.05</w:t>
            </w:r>
          </w:p>
        </w:tc>
        <w:tc>
          <w:tcPr>
            <w:tcW w:w="7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43.95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97.9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after="16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94.33</w:t>
            </w:r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11734" w:rsidRDefault="00E11734" w:rsidP="00073B05">
            <w:pPr>
              <w:spacing w:line="360" w:lineRule="auto"/>
              <w:jc w:val="both"/>
              <w:textAlignment w:val="top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2121x</w:t>
            </w:r>
          </w:p>
        </w:tc>
      </w:tr>
    </w:tbl>
    <w:p w:rsidR="00E11734" w:rsidRDefault="00E11734" w:rsidP="00E11734">
      <w:pPr>
        <w:spacing w:line="360" w:lineRule="auto"/>
        <w:jc w:val="both"/>
      </w:pPr>
      <w:proofErr w:type="gramStart"/>
      <w:r>
        <w:rPr>
          <w:rFonts w:ascii="Arial" w:hAnsi="Arial" w:cs="Arial"/>
          <w:iCs/>
          <w:sz w:val="20"/>
          <w:vertAlign w:val="superscript"/>
        </w:rPr>
        <w:t>a</w:t>
      </w:r>
      <w:proofErr w:type="gramEnd"/>
      <w:r>
        <w:rPr>
          <w:rFonts w:ascii="Arial" w:hAnsi="Arial" w:cs="Arial"/>
          <w:iCs/>
          <w:sz w:val="20"/>
        </w:rPr>
        <w:t xml:space="preserve"> Total reads refers to the sum of reads 1 and reads 2 from strand-specific sequencing.  </w:t>
      </w:r>
      <w:proofErr w:type="gramStart"/>
      <w:r>
        <w:rPr>
          <w:rFonts w:ascii="Arial" w:hAnsi="Arial" w:cs="Arial"/>
          <w:iCs/>
          <w:sz w:val="20"/>
          <w:vertAlign w:val="superscript"/>
        </w:rPr>
        <w:t>b</w:t>
      </w:r>
      <w:proofErr w:type="gramEnd"/>
      <w:r>
        <w:rPr>
          <w:rFonts w:ascii="Arial" w:hAnsi="Arial" w:cs="Arial"/>
          <w:iCs/>
          <w:sz w:val="20"/>
        </w:rPr>
        <w:t xml:space="preserve"> Q20 stands for </w:t>
      </w:r>
      <w:proofErr w:type="spellStart"/>
      <w:r>
        <w:rPr>
          <w:rFonts w:ascii="Arial" w:hAnsi="Arial" w:cs="Arial"/>
          <w:iCs/>
          <w:sz w:val="20"/>
        </w:rPr>
        <w:t>phred</w:t>
      </w:r>
      <w:proofErr w:type="spellEnd"/>
      <w:r>
        <w:rPr>
          <w:rFonts w:ascii="Arial" w:hAnsi="Arial" w:cs="Arial"/>
          <w:iCs/>
          <w:sz w:val="20"/>
        </w:rPr>
        <w:t xml:space="preserve"> quality score over 20. </w:t>
      </w:r>
      <w:proofErr w:type="gramStart"/>
      <w:r>
        <w:rPr>
          <w:rFonts w:ascii="Arial" w:hAnsi="Arial" w:cs="Arial"/>
          <w:iCs/>
          <w:sz w:val="20"/>
          <w:vertAlign w:val="superscript"/>
        </w:rPr>
        <w:t>c</w:t>
      </w:r>
      <w:proofErr w:type="gramEnd"/>
      <w:r>
        <w:rPr>
          <w:rFonts w:ascii="Arial" w:hAnsi="Arial" w:cs="Arial"/>
          <w:iCs/>
          <w:sz w:val="20"/>
        </w:rPr>
        <w:t xml:space="preserve"> Q30 stands for </w:t>
      </w:r>
      <w:proofErr w:type="spellStart"/>
      <w:r>
        <w:rPr>
          <w:rFonts w:ascii="Arial" w:hAnsi="Arial" w:cs="Arial"/>
          <w:iCs/>
          <w:sz w:val="20"/>
        </w:rPr>
        <w:t>phred</w:t>
      </w:r>
      <w:proofErr w:type="spellEnd"/>
      <w:r>
        <w:rPr>
          <w:rFonts w:ascii="Arial" w:hAnsi="Arial" w:cs="Arial"/>
          <w:iCs/>
          <w:sz w:val="20"/>
        </w:rPr>
        <w:t xml:space="preserve"> quality score over 30. </w:t>
      </w:r>
      <w:proofErr w:type="gramStart"/>
      <w:r>
        <w:rPr>
          <w:rFonts w:ascii="Arial" w:hAnsi="Arial" w:cs="Arial"/>
          <w:iCs/>
          <w:sz w:val="20"/>
          <w:vertAlign w:val="superscript"/>
        </w:rPr>
        <w:t>d</w:t>
      </w:r>
      <w:proofErr w:type="gramEnd"/>
      <w:r>
        <w:rPr>
          <w:rFonts w:ascii="Arial" w:hAnsi="Arial" w:cs="Arial"/>
          <w:iCs/>
          <w:sz w:val="20"/>
          <w:vertAlign w:val="superscript"/>
        </w:rPr>
        <w:t xml:space="preserve"> </w:t>
      </w:r>
      <w:r>
        <w:rPr>
          <w:rFonts w:ascii="Arial" w:hAnsi="Arial" w:cs="Arial"/>
          <w:iCs/>
          <w:sz w:val="20"/>
        </w:rPr>
        <w:t>Coverage was calculated according to the formula C=L·N/G from the length of reads (L = 100), N and the genome size (G) being the sum of all genomes present in the sample.</w:t>
      </w:r>
    </w:p>
    <w:p w:rsidR="00E11734" w:rsidRDefault="00E11734" w:rsidP="00E11734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1A280E" w:rsidRDefault="001A280E"/>
    <w:sectPr w:rsidR="001A2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34"/>
    <w:rsid w:val="001A280E"/>
    <w:rsid w:val="00D42C68"/>
    <w:rsid w:val="00E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FB3C"/>
  <w15:chartTrackingRefBased/>
  <w15:docId w15:val="{9B92E271-A73F-4B8F-BE22-234AB19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11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MHeading">
    <w:name w:val="SM Heading"/>
    <w:basedOn w:val="Ttulo1"/>
    <w:rsid w:val="00E11734"/>
    <w:pPr>
      <w:keepLines w:val="0"/>
      <w:spacing w:after="60"/>
    </w:pPr>
    <w:rPr>
      <w:rFonts w:ascii="Arial" w:eastAsia="Times New Roman" w:hAnsi="Arial" w:cs="Times New Roman"/>
      <w:b/>
      <w:bCs/>
      <w:color w:val="00000A"/>
      <w:sz w:val="20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117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Table S3. TruSeq® Stranded mRNA Illumina sequencing results and coverage for eac</vt:lpstr>
    </vt:vector>
  </TitlesOfParts>
  <Company>Universidad de Cantabria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Moncalian</dc:creator>
  <cp:keywords/>
  <dc:description/>
  <cp:lastModifiedBy>Gabriel Moncalian</cp:lastModifiedBy>
  <cp:revision>2</cp:revision>
  <dcterms:created xsi:type="dcterms:W3CDTF">2020-04-03T23:49:00Z</dcterms:created>
  <dcterms:modified xsi:type="dcterms:W3CDTF">2020-04-03T23:51:00Z</dcterms:modified>
</cp:coreProperties>
</file>