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030E" w14:textId="1E679219" w:rsidR="00870E72" w:rsidRDefault="00372D4A" w:rsidP="00571F3C">
      <w:pPr>
        <w:rPr>
          <w:rFonts w:ascii="Times New Roman" w:hAnsi="Times New Roman" w:cs="Times New Roman"/>
          <w:b/>
          <w:sz w:val="28"/>
          <w:szCs w:val="28"/>
        </w:rPr>
      </w:pPr>
      <w:r>
        <w:rPr>
          <w:rFonts w:ascii="Times New Roman" w:hAnsi="Times New Roman" w:cs="Times New Roman"/>
          <w:b/>
          <w:sz w:val="28"/>
          <w:szCs w:val="28"/>
        </w:rPr>
        <w:t>S</w:t>
      </w:r>
      <w:r w:rsidR="00870E72" w:rsidRPr="00870E72">
        <w:rPr>
          <w:rFonts w:ascii="Times New Roman" w:hAnsi="Times New Roman" w:cs="Times New Roman"/>
          <w:b/>
          <w:sz w:val="28"/>
          <w:szCs w:val="28"/>
        </w:rPr>
        <w:t xml:space="preserve">1 </w:t>
      </w:r>
      <w:r w:rsidR="0074605C">
        <w:rPr>
          <w:rFonts w:ascii="Times New Roman" w:hAnsi="Times New Roman" w:cs="Times New Roman"/>
          <w:b/>
          <w:sz w:val="28"/>
          <w:szCs w:val="28"/>
        </w:rPr>
        <w:t>Table</w:t>
      </w:r>
      <w:r w:rsidR="00870E72" w:rsidRPr="00870E72">
        <w:rPr>
          <w:rFonts w:ascii="Times New Roman" w:hAnsi="Times New Roman" w:cs="Times New Roman"/>
          <w:b/>
          <w:sz w:val="28"/>
          <w:szCs w:val="28"/>
        </w:rPr>
        <w:t xml:space="preserve">. </w:t>
      </w:r>
      <w:r w:rsidRPr="00372D4A">
        <w:rPr>
          <w:rFonts w:ascii="Times New Roman" w:hAnsi="Times New Roman" w:cs="Times New Roman"/>
          <w:b/>
          <w:sz w:val="28"/>
          <w:szCs w:val="28"/>
        </w:rPr>
        <w:t>Master Data Extraction Sheet. Table with inf</w:t>
      </w:r>
      <w:bookmarkStart w:id="0" w:name="_GoBack"/>
      <w:bookmarkEnd w:id="0"/>
      <w:r w:rsidRPr="00372D4A">
        <w:rPr>
          <w:rFonts w:ascii="Times New Roman" w:hAnsi="Times New Roman" w:cs="Times New Roman"/>
          <w:b/>
          <w:sz w:val="28"/>
          <w:szCs w:val="28"/>
        </w:rPr>
        <w:t>ormation on sponsor/author, guidelines name, references, elements known to introduce bias, number of red flags and uncertain rating and notes for each guideline.</w:t>
      </w:r>
    </w:p>
    <w:p w14:paraId="065C9D28" w14:textId="77777777" w:rsidR="00372D4A" w:rsidRPr="00F46E6B" w:rsidRDefault="00372D4A" w:rsidP="00571F3C">
      <w:pPr>
        <w:rPr>
          <w:rFonts w:ascii="Times New Roman" w:hAnsi="Times New Roman" w:cs="Times New Roman"/>
          <w:b/>
          <w:sz w:val="18"/>
          <w:szCs w:val="18"/>
        </w:rPr>
      </w:pPr>
    </w:p>
    <w:tbl>
      <w:tblPr>
        <w:tblStyle w:val="TableGrid"/>
        <w:tblW w:w="20701" w:type="dxa"/>
        <w:tblInd w:w="198" w:type="dxa"/>
        <w:tblLayout w:type="fixed"/>
        <w:tblLook w:val="04A0" w:firstRow="1" w:lastRow="0" w:firstColumn="1" w:lastColumn="0" w:noHBand="0" w:noVBand="1"/>
        <w:tblCaption w:val=""/>
        <w:tblDescription w:val=""/>
      </w:tblPr>
      <w:tblGrid>
        <w:gridCol w:w="1503"/>
        <w:gridCol w:w="2376"/>
        <w:gridCol w:w="709"/>
        <w:gridCol w:w="1306"/>
        <w:gridCol w:w="3377"/>
        <w:gridCol w:w="1530"/>
        <w:gridCol w:w="9900"/>
      </w:tblGrid>
      <w:tr w:rsidR="00563E4F" w:rsidRPr="00F46E6B" w14:paraId="67434878" w14:textId="77777777" w:rsidTr="00C5409F">
        <w:tc>
          <w:tcPr>
            <w:tcW w:w="1503" w:type="dxa"/>
          </w:tcPr>
          <w:p w14:paraId="29CD2767" w14:textId="0583BA2E" w:rsidR="00563E4F" w:rsidRPr="00F46E6B" w:rsidRDefault="00870E72" w:rsidP="00D40608">
            <w:pPr>
              <w:rPr>
                <w:rFonts w:ascii="Times New Roman" w:hAnsi="Times New Roman" w:cs="Times New Roman"/>
                <w:sz w:val="18"/>
                <w:szCs w:val="18"/>
              </w:rPr>
            </w:pPr>
            <w:r>
              <w:rPr>
                <w:rFonts w:ascii="Times New Roman" w:hAnsi="Times New Roman" w:cs="Times New Roman"/>
                <w:sz w:val="18"/>
                <w:szCs w:val="18"/>
              </w:rPr>
              <w:t>Sponsor/Author</w:t>
            </w:r>
          </w:p>
        </w:tc>
        <w:tc>
          <w:tcPr>
            <w:tcW w:w="2376" w:type="dxa"/>
          </w:tcPr>
          <w:p w14:paraId="3EF5749C" w14:textId="398F481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Guideline</w:t>
            </w:r>
          </w:p>
        </w:tc>
        <w:tc>
          <w:tcPr>
            <w:tcW w:w="709" w:type="dxa"/>
          </w:tcPr>
          <w:p w14:paraId="0C2743AC" w14:textId="3A87F6C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Ref </w:t>
            </w:r>
          </w:p>
        </w:tc>
        <w:tc>
          <w:tcPr>
            <w:tcW w:w="1306" w:type="dxa"/>
          </w:tcPr>
          <w:p w14:paraId="12482FED" w14:textId="4A40FF1E" w:rsidR="00563E4F" w:rsidRPr="00F46E6B" w:rsidRDefault="00323FDE" w:rsidP="00D40608">
            <w:pPr>
              <w:rPr>
                <w:rFonts w:ascii="Times New Roman" w:hAnsi="Times New Roman" w:cs="Times New Roman"/>
                <w:sz w:val="18"/>
                <w:szCs w:val="18"/>
              </w:rPr>
            </w:pPr>
            <w:r w:rsidRPr="00F46E6B">
              <w:rPr>
                <w:rFonts w:ascii="Times New Roman" w:hAnsi="Times New Roman" w:cs="Times New Roman"/>
                <w:sz w:val="18"/>
                <w:szCs w:val="18"/>
              </w:rPr>
              <w:t>Sources</w:t>
            </w:r>
          </w:p>
        </w:tc>
        <w:tc>
          <w:tcPr>
            <w:tcW w:w="3377" w:type="dxa"/>
          </w:tcPr>
          <w:p w14:paraId="01827964" w14:textId="20FC835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Element known to introduce potential bias</w:t>
            </w:r>
          </w:p>
        </w:tc>
        <w:tc>
          <w:tcPr>
            <w:tcW w:w="1530" w:type="dxa"/>
          </w:tcPr>
          <w:p w14:paraId="61E2F568" w14:textId="02337BE3" w:rsidR="00563E4F" w:rsidRPr="00F46E6B" w:rsidRDefault="00323FDE" w:rsidP="00D40608">
            <w:pPr>
              <w:rPr>
                <w:rFonts w:ascii="Times New Roman" w:hAnsi="Times New Roman" w:cs="Times New Roman"/>
                <w:sz w:val="18"/>
                <w:szCs w:val="18"/>
              </w:rPr>
            </w:pPr>
            <w:r w:rsidRPr="00F46E6B">
              <w:rPr>
                <w:rFonts w:ascii="Times New Roman" w:hAnsi="Times New Roman" w:cs="Times New Roman"/>
                <w:sz w:val="18"/>
                <w:szCs w:val="18"/>
              </w:rPr>
              <w:t>Red flags</w:t>
            </w:r>
            <w:r w:rsidR="00563E4F" w:rsidRPr="00F46E6B">
              <w:rPr>
                <w:rFonts w:ascii="Times New Roman" w:hAnsi="Times New Roman" w:cs="Times New Roman"/>
                <w:sz w:val="18"/>
                <w:szCs w:val="18"/>
              </w:rPr>
              <w:t xml:space="preserve"> </w:t>
            </w:r>
          </w:p>
        </w:tc>
        <w:tc>
          <w:tcPr>
            <w:tcW w:w="9900" w:type="dxa"/>
          </w:tcPr>
          <w:p w14:paraId="68F21DAD" w14:textId="0D96062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Notes</w:t>
            </w:r>
          </w:p>
        </w:tc>
      </w:tr>
      <w:tr w:rsidR="00563E4F" w:rsidRPr="00F46E6B" w14:paraId="2E6C3D63" w14:textId="77777777" w:rsidTr="00C5409F">
        <w:tc>
          <w:tcPr>
            <w:tcW w:w="1503" w:type="dxa"/>
          </w:tcPr>
          <w:p w14:paraId="4E04D486" w14:textId="4CAA191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College of Occupational and Environmental Medicine (ACOEM)</w:t>
            </w:r>
          </w:p>
        </w:tc>
        <w:tc>
          <w:tcPr>
            <w:tcW w:w="2376" w:type="dxa"/>
          </w:tcPr>
          <w:p w14:paraId="55620C1F" w14:textId="2177E09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ACOEM Guidelines for Chronic Use of Opioids (2011)</w:t>
            </w:r>
          </w:p>
        </w:tc>
        <w:tc>
          <w:tcPr>
            <w:tcW w:w="709" w:type="dxa"/>
          </w:tcPr>
          <w:p w14:paraId="6B5216BC" w14:textId="2415704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16l92mh7rr","properties":{"formattedCitation":"[1]","plainCitation":"[1]","noteIndex":0},"citationItems":[{"id":11050,"uris":["http://zotero.org/users/1218045/items/FHEXAAHQ"],"uri":["http://zotero.org/users/1218045/items/FHEXAAHQ"],"itemData":{"id":11050,"type":"article","publisher":"American Coll of Occupational and Environmental Medicine","title":"ACOEM Guidelines for Chronic Use of Opioids","URL":"https://www.nhms.org/sites/default/files/Pdfs/ACOEM%202011-Chronic%20Pain%20Opioid%20.pdf","author":[{"family":"American Coll of Occupational and Environmental Medicine","given":""}],"accessed":{"date-parts":[["2016",5,9]]},"issued":{"date-parts":[["2011"]]}}}],"schema":"https://github.com/citation-style-language/schema/raw/master/csl-citation.json"}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w:t>
            </w:r>
            <w:r w:rsidRPr="00F46E6B">
              <w:rPr>
                <w:rFonts w:ascii="Times New Roman" w:hAnsi="Times New Roman" w:cs="Times New Roman"/>
                <w:sz w:val="18"/>
                <w:szCs w:val="18"/>
              </w:rPr>
              <w:fldChar w:fldCharType="end"/>
            </w:r>
          </w:p>
        </w:tc>
        <w:tc>
          <w:tcPr>
            <w:tcW w:w="1306" w:type="dxa"/>
          </w:tcPr>
          <w:p w14:paraId="6ACC62AB" w14:textId="5097DDBC" w:rsidR="00563E4F" w:rsidRPr="00F46E6B" w:rsidRDefault="00563E4F" w:rsidP="00D40608">
            <w:pPr>
              <w:pStyle w:val="ListParagraph"/>
              <w:spacing w:after="60"/>
              <w:ind w:left="-104"/>
              <w:rPr>
                <w:rFonts w:ascii="Times New Roman" w:hAnsi="Times New Roman" w:cs="Times New Roman"/>
                <w:sz w:val="18"/>
                <w:szCs w:val="18"/>
              </w:rPr>
            </w:pPr>
            <w:r w:rsidRPr="00F46E6B">
              <w:rPr>
                <w:rFonts w:ascii="Times New Roman" w:hAnsi="Times New Roman" w:cs="Times New Roman"/>
                <w:sz w:val="18"/>
                <w:szCs w:val="18"/>
              </w:rPr>
              <w:t>Email communication</w:t>
            </w:r>
          </w:p>
          <w:p w14:paraId="6D2251AE" w14:textId="77777777" w:rsidR="00563E4F" w:rsidRPr="00F46E6B" w:rsidRDefault="00563E4F" w:rsidP="00D40608">
            <w:pPr>
              <w:pStyle w:val="ListParagraph"/>
              <w:spacing w:after="60"/>
              <w:ind w:left="-104"/>
              <w:rPr>
                <w:rFonts w:ascii="Times New Roman" w:hAnsi="Times New Roman" w:cs="Times New Roman"/>
                <w:sz w:val="18"/>
                <w:szCs w:val="18"/>
              </w:rPr>
            </w:pPr>
          </w:p>
          <w:p w14:paraId="3DF22EAB" w14:textId="5304582C" w:rsidR="00563E4F" w:rsidRPr="00F46E6B" w:rsidRDefault="00563E4F" w:rsidP="00D40608">
            <w:pPr>
              <w:pStyle w:val="ListParagraph"/>
              <w:spacing w:after="60"/>
              <w:ind w:left="-104"/>
              <w:rPr>
                <w:rFonts w:ascii="Times New Roman" w:hAnsi="Times New Roman" w:cs="Times New Roman"/>
                <w:sz w:val="18"/>
                <w:szCs w:val="18"/>
              </w:rPr>
            </w:pPr>
            <w:r w:rsidRPr="00F46E6B">
              <w:rPr>
                <w:rFonts w:ascii="Times New Roman" w:hAnsi="Times New Roman" w:cs="Times New Roman"/>
                <w:sz w:val="18"/>
                <w:szCs w:val="18"/>
              </w:rPr>
              <w:t xml:space="preserve">Supplementary materials </w:t>
            </w: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3qcvb5vkr","properties":{"formattedCitation":"[2]","plainCitation":"[2]","noteIndex":0},"citationItems":[{"id":11567,"uris":["http://zotero.org/users/1218045/items/E3RT46JV"],"uri":["http://zotero.org/users/1218045/items/E3RT46JV"],"itemData":{"id":11567,"type":"article","title":"Methodology for ACOEMʼs Occupational Medicine Practice Guidelines, 2011 revision","URL":"https://www.acoem.org/gmc.aspx","author":[{"family":"American College of Occupational and Environmental Medicine","given":""}],"issued":{"date-parts":[["2011"]]}}}],"schema":"https://github.com/citation-style-language/schema/raw/master/csl-citation.json"}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[2]</w:t>
            </w:r>
            <w:r w:rsidRPr="00F46E6B">
              <w:rPr>
                <w:rFonts w:ascii="Times New Roman" w:hAnsi="Times New Roman" w:cs="Times New Roman"/>
                <w:sz w:val="18"/>
                <w:szCs w:val="18"/>
              </w:rPr>
              <w:fldChar w:fldCharType="end"/>
            </w:r>
          </w:p>
          <w:p w14:paraId="4B529CA3" w14:textId="04DE9A26" w:rsidR="00563E4F" w:rsidRPr="00F46E6B" w:rsidRDefault="00563E4F" w:rsidP="00D40608">
            <w:pPr>
              <w:rPr>
                <w:rFonts w:ascii="Times New Roman" w:hAnsi="Times New Roman" w:cs="Times New Roman"/>
                <w:sz w:val="18"/>
                <w:szCs w:val="18"/>
              </w:rPr>
            </w:pPr>
          </w:p>
        </w:tc>
        <w:tc>
          <w:tcPr>
            <w:tcW w:w="3377" w:type="dxa"/>
          </w:tcPr>
          <w:p w14:paraId="37C7258A" w14:textId="123D0E1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6DF7FBA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5D7EB579"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6104C19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0E83A78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6BBDDE0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6DFC588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1F2F1612" w14:textId="733B5A4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367D5A75" w14:textId="23A9FFA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4BC05C37" w14:textId="600086D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020410A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 flag </w:t>
            </w:r>
          </w:p>
          <w:p w14:paraId="71006BF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383B3954"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53131E7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F8471A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ED2A9BF" w14:textId="3708026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2371ECF2" w14:textId="74A0E64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 pharma industry sponsors in searches</w:t>
            </w:r>
          </w:p>
          <w:p w14:paraId="4435356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40044FF" w14:textId="1C59163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ACOEM provided names and COI via email. No pharma industry conflicts reported for chairs or found in searches</w:t>
            </w:r>
          </w:p>
          <w:p w14:paraId="3150B901" w14:textId="00D6386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ACOEM provided names and COI via email. No pharma industry conflicts reported committee members</w:t>
            </w:r>
          </w:p>
          <w:p w14:paraId="187C9147" w14:textId="633FA45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15 panel members, 1 addictions expertise (1/15 =7%)</w:t>
            </w:r>
          </w:p>
          <w:p w14:paraId="353F7801" w14:textId="60764AB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Standing methodology committee that provides guidance/oversight. </w:t>
            </w:r>
          </w:p>
          <w:p w14:paraId="096CE318" w14:textId="179E92A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Sent for external review according to supplementary materials: ACEOM guidelines methodology document </w:t>
            </w:r>
          </w:p>
          <w:p w14:paraId="136F1BF1" w14:textId="76D399A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Two non-physicians, no patients </w:t>
            </w:r>
          </w:p>
        </w:tc>
      </w:tr>
      <w:tr w:rsidR="00563E4F" w:rsidRPr="00F46E6B" w14:paraId="507683D2" w14:textId="77777777" w:rsidTr="00C5409F">
        <w:tc>
          <w:tcPr>
            <w:tcW w:w="1503" w:type="dxa"/>
          </w:tcPr>
          <w:p w14:paraId="181608AF" w14:textId="74F784A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Geriatrics Society (AGS)</w:t>
            </w:r>
          </w:p>
        </w:tc>
        <w:tc>
          <w:tcPr>
            <w:tcW w:w="2376" w:type="dxa"/>
          </w:tcPr>
          <w:p w14:paraId="482D6D06" w14:textId="74D2E01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Pharmacological Management of Persistent Pain in Older Persons and Management of Persistent Pain in Older Persons (2009)</w:t>
            </w:r>
          </w:p>
        </w:tc>
        <w:tc>
          <w:tcPr>
            <w:tcW w:w="709" w:type="dxa"/>
          </w:tcPr>
          <w:p w14:paraId="733F8715" w14:textId="1B58C16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1jcfipqlud","properties":{"formattedCitation":"[3,4]","plainCitation":"[3,4]","noteIndex":0},"citationItems":[{"id":11062,"uris":["http://zotero.org/users/1218045/items/QWCPWKIM"],"uri":["http://zotero.org/users/1218045/items/QWCPWKIM"],"itemData":{"id":11062,"type":"article-journal","container-title":"Journal of the American Geriatrics Society","DOI":"10.1111/j.1532-5415.2009.02376.x","ISSN":"1532-5415","issue":"8","journalAbbreviation":"J Am Geriatr Soc","language":"eng","note":"PMID: 19573219","page":"1331-1346","source":"PubMed","title":"Pharmacological management of persistent pain in older persons","volume":"57","author":[{"literal":"American Geriatrics Society Panel on Pharmacological Management of Persistent Pain in Older Persons"}],"issued":{"date-parts":[["2009",8]]}}},{"id":11056,"uris":["http://zotero.org/users/1218045/items/2J3NAHNW"],"uri":["http://zotero.org/users/1218045/items/2J3NAHNW"],"itemData":{"id":11056,"type":"article-journal","container-title":"Journal of the American Geriatrics Society","ISSN":"0002-8614","issue":"6 Suppl","journalAbbreviation":"J Am Geriatr Soc","language":"eng","note":"PMID: 12067390","page":"S205-224","source":"PubMed","title":"The management of persistent pain in older persons","volume":"50","author":[{"literal":"AGS Panel on Persistent Pain in Older Persons"}],"issued":{"date-parts":[["2002",6]]}}}],"schema":"https://github.com/citation-style-language/schema/raw/master/csl-citation.json"}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[3,4]</w:t>
            </w:r>
            <w:r w:rsidRPr="00F46E6B">
              <w:rPr>
                <w:rFonts w:ascii="Times New Roman" w:hAnsi="Times New Roman" w:cs="Times New Roman"/>
                <w:sz w:val="18"/>
                <w:szCs w:val="18"/>
              </w:rPr>
              <w:fldChar w:fldCharType="end"/>
            </w:r>
          </w:p>
        </w:tc>
        <w:tc>
          <w:tcPr>
            <w:tcW w:w="1306" w:type="dxa"/>
          </w:tcPr>
          <w:p w14:paraId="0568CB57" w14:textId="0EF529F8" w:rsidR="00563E4F" w:rsidRPr="00F46E6B" w:rsidRDefault="00563E4F" w:rsidP="00D40608">
            <w:pPr>
              <w:rPr>
                <w:rFonts w:ascii="Times New Roman" w:hAnsi="Times New Roman" w:cs="Times New Roman"/>
                <w:sz w:val="18"/>
                <w:szCs w:val="18"/>
              </w:rPr>
            </w:pPr>
          </w:p>
        </w:tc>
        <w:tc>
          <w:tcPr>
            <w:tcW w:w="3377" w:type="dxa"/>
          </w:tcPr>
          <w:p w14:paraId="4E74019B" w14:textId="7F3A94B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536E78F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5022916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59315D8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55DD217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1F589E0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25B3524E"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17B12D85" w14:textId="2535252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2610050C" w14:textId="0F4128B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51C4BD91" w14:textId="065FD40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F9E52D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07DD8FE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59E72DF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4DA754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BD11E6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07E83B8" w14:textId="40870199" w:rsidR="00563E4F" w:rsidRPr="00F46E6B" w:rsidRDefault="00563E4F" w:rsidP="00D40608">
            <w:pPr>
              <w:rPr>
                <w:rFonts w:ascii="Times New Roman" w:hAnsi="Times New Roman" w:cs="Times New Roman"/>
                <w:sz w:val="18"/>
                <w:szCs w:val="18"/>
                <w:highlight w:val="red"/>
              </w:rPr>
            </w:pPr>
            <w:r w:rsidRPr="00F46E6B">
              <w:rPr>
                <w:rFonts w:ascii="Times New Roman" w:hAnsi="Times New Roman" w:cs="Times New Roman"/>
                <w:sz w:val="18"/>
                <w:szCs w:val="18"/>
              </w:rPr>
              <w:t>Red flag</w:t>
            </w:r>
          </w:p>
        </w:tc>
        <w:tc>
          <w:tcPr>
            <w:tcW w:w="9900" w:type="dxa"/>
          </w:tcPr>
          <w:p w14:paraId="364B8004" w14:textId="4359191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Has pharm</w:t>
            </w:r>
            <w:r w:rsidR="00870E72">
              <w:rPr>
                <w:rFonts w:ascii="Times New Roman" w:hAnsi="Times New Roman" w:cs="Times New Roman"/>
                <w:sz w:val="18"/>
                <w:szCs w:val="18"/>
              </w:rPr>
              <w:t>a industry sponsors in searches</w:t>
            </w:r>
            <w:r w:rsidRPr="00F46E6B">
              <w:rPr>
                <w:rFonts w:ascii="Times New Roman" w:hAnsi="Times New Roman" w:cs="Times New Roman"/>
                <w:sz w:val="18"/>
                <w:szCs w:val="18"/>
              </w:rPr>
              <w:t xml:space="preserve"> </w:t>
            </w:r>
          </w:p>
          <w:p w14:paraId="097ADE7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9B539DF" w14:textId="62FEA06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none but COI for chair with Purdue and Endo pharma companies (2007) found in searches </w:t>
            </w:r>
          </w:p>
          <w:p w14:paraId="4879F428" w14:textId="0246344E" w:rsidR="00563E4F" w:rsidRPr="00F46E6B" w:rsidRDefault="00563E4F" w:rsidP="00D40608">
            <w:pPr>
              <w:rPr>
                <w:rFonts w:ascii="Times New Roman" w:eastAsia="Times New Roman" w:hAnsi="Times New Roman" w:cs="Times New Roman"/>
                <w:sz w:val="18"/>
                <w:szCs w:val="18"/>
                <w:lang w:val="en-CA"/>
              </w:rPr>
            </w:pPr>
            <w:r w:rsidRPr="00F46E6B">
              <w:rPr>
                <w:rFonts w:ascii="Times New Roman" w:eastAsia="Times New Roman" w:hAnsi="Times New Roman" w:cs="Times New Roman"/>
                <w:sz w:val="18"/>
                <w:szCs w:val="18"/>
                <w:lang w:val="en-CA"/>
              </w:rPr>
              <w:t>Stated: many members with COI with pharma</w:t>
            </w:r>
          </w:p>
          <w:p w14:paraId="09987BB3" w14:textId="3A472C27" w:rsidR="00563E4F" w:rsidRPr="00F46E6B" w:rsidRDefault="00563E4F" w:rsidP="00D40608">
            <w:pPr>
              <w:rPr>
                <w:rFonts w:ascii="Times New Roman" w:eastAsia="Times New Roman" w:hAnsi="Times New Roman" w:cs="Times New Roman"/>
                <w:sz w:val="18"/>
                <w:szCs w:val="18"/>
                <w:lang w:val="en-CA"/>
              </w:rPr>
            </w:pPr>
            <w:r w:rsidRPr="00F46E6B">
              <w:rPr>
                <w:rFonts w:ascii="Times New Roman" w:hAnsi="Times New Roman" w:cs="Times New Roman"/>
                <w:sz w:val="18"/>
                <w:szCs w:val="18"/>
              </w:rPr>
              <w:t xml:space="preserve">10 members, 1 with expertise in addictions (10%) </w:t>
            </w:r>
          </w:p>
          <w:p w14:paraId="39CE3B59" w14:textId="5867D6FC" w:rsidR="00563E4F" w:rsidRPr="00F46E6B" w:rsidRDefault="00563E4F" w:rsidP="00D40608">
            <w:pPr>
              <w:rPr>
                <w:rFonts w:ascii="Times New Roman" w:eastAsia="Times New Roman" w:hAnsi="Times New Roman" w:cs="Times New Roman"/>
                <w:sz w:val="18"/>
                <w:szCs w:val="18"/>
                <w:lang w:val="en-CA"/>
              </w:rPr>
            </w:pPr>
            <w:r w:rsidRPr="00F46E6B">
              <w:rPr>
                <w:rFonts w:ascii="Times New Roman" w:eastAsia="Times New Roman" w:hAnsi="Times New Roman" w:cs="Times New Roman"/>
                <w:sz w:val="18"/>
                <w:szCs w:val="18"/>
                <w:lang w:val="en-CA"/>
              </w:rPr>
              <w:t>No methodologist in lead role or providing oversight</w:t>
            </w:r>
          </w:p>
          <w:p w14:paraId="36E3CD5E" w14:textId="1E6FEE3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Sent for external review</w:t>
            </w:r>
          </w:p>
          <w:p w14:paraId="27D2EB8A" w14:textId="5379B4A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Two non-physicians, no patients</w:t>
            </w:r>
          </w:p>
        </w:tc>
      </w:tr>
      <w:tr w:rsidR="00563E4F" w:rsidRPr="00F46E6B" w14:paraId="6D07CE8A" w14:textId="77777777" w:rsidTr="00C5409F">
        <w:tc>
          <w:tcPr>
            <w:tcW w:w="1503" w:type="dxa"/>
          </w:tcPr>
          <w:p w14:paraId="7EEB5D71" w14:textId="1DB57FD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Pain Society and American Academy of Pain Medicine (APS and AAPM)</w:t>
            </w:r>
          </w:p>
        </w:tc>
        <w:tc>
          <w:tcPr>
            <w:tcW w:w="2376" w:type="dxa"/>
          </w:tcPr>
          <w:p w14:paraId="7C8BE8D8" w14:textId="08E3059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 xml:space="preserve">Clinical Guidelines for the Use of Chronic Opioid Therapy in Chronic Noncancer Pain (2009) </w:t>
            </w:r>
          </w:p>
        </w:tc>
        <w:tc>
          <w:tcPr>
            <w:tcW w:w="709" w:type="dxa"/>
          </w:tcPr>
          <w:p w14:paraId="385AA0D0" w14:textId="40DF7B8D" w:rsidR="00563E4F" w:rsidRPr="00F46E6B" w:rsidRDefault="00563E4F" w:rsidP="00F6623C">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4cen9vuvc","properties":{"formattedCitation":"[5\\uc0\\u8211{}7]","plainCitation":"[5–7]","noteIndex":0},"citationItems":[{"id":11059,"uris":["http://zotero.org/users/1218045/items/PIMZ4UGX"],"uri":["http://zotero.org/users/1218045/items/PIMZ4UGX"],"itemData":{"id":11059,"type":"article-journal","abstract":"Safe and effective chronic opioid therapy (COT) for chronic noncancer pain requires clinical skills and knowledge in both the principles of opioid prescribing and in the assessment and management of risks associated with opioid abuse, addiction, and diversion. The American Pain Society and the American Academy of Pain Medicine commissioned a systematic review of the evidence on COT for chronic noncancer pain and convened a multidisciplinary expert panel to review the evidence and formulate recommendations based on the best available evidence. This article summarizes key clinical messages from this guideline regarding patient selection and risk stratification, informed consent and opioid management plans, initiation and titration of COT, use of methadone, monitoring of patients, use of opioids in high-risk patients, assessment of aberrant drug-related behaviors, dose escalations and high-dose opioid therapy, opioid rotation, indications for discontinuation of therapy, prevention and management of opioid-related adverse effects, driving and work safety, identifying a medical home and when to obtain consultation, and management of breakthrough pain.","container-title":"Polskie Archiwum Medycyny Wewnetrznej","issue":"7-8","journalAbbreviation":"Pol. Arch. Med. Wewn.","language":"eng","note":"PMID: 19776687","page":"469-477","source":"PubMed","title":"2009 Clinical Guidelines from the American Pain Society and the American Academy of Pain Medicine on the use of chronic opioid therapy in chronic noncancer pain: what are the key messages for clinical practice?","title-short":"2009 Clinical Guidelines from the American Pain Society and the American Academy of Pain Medicine on the use of chronic opioid therapy in chronic noncancer pain","volume":"119","author":[{"family":"Chou","given":"Roger"}],"issued":{"date-parts":[["2009",8]]}}},{"id":1968,"uris":["http://zotero.org/users/1218045/items/4QS9QBPI"],"uri":["http://zotero.org/users/1218045/items/4QS9QBPI"],"itemData":{"id":1968,"type":"article-journal","abstract":"Use of chronic opioid therapy for chronic noncancer pain has increased substantially. The American Pain Society and the American Academy of Pain Medicine commissioned a systematic review of the evidence on chronic opioid therapy for chronic noncancer pain and convened a multidisciplinary expert panel to review the evidence and formulate recommendations. Although evidence is limited, the expert panel concluded that chronic opioid therapy can be an effective therapy for carefully selected and monitored patients with chronic noncancer pain. However, opioids are also associated with potentially serious harms, including opioid-related adverse effects and outcomes related to the abuse potential of opioids. The recommendations presented in this document provide guidance on patient selection and risk stratification; informed consent and opioid management plans; initiation and titration of chronic opioid therapy; use of methadone; monitoring of patients on chronic opioid therapy; dose escalations, high-dose opioid therapy, opioid rotation, and indications for discontinuation of therapy; prevention and management of opioid-related adverse effects; driving and work safety; identifying a medical home and when to obtain consultation; management of breakthrough pain; chronic opioid therapy in pregnancy; and opioid-related polices.\nPerspective\nSafe and effective chronic opioid therapy for chronic noncancer pain requires clinical skills and knowledge in both the principles of opioid prescribing and on the assessment and management of risks associated with opioid abuse, addiction, and diversion. Although evidence is limited in many areas related to use of opioids for chronic noncancer pain, this guideline provides recommendations developed by a multidisciplinary expert panel after a systematic review of the evidence.","container-title":"The Journal of Pain","DOI":"10.1016/j.jpain.2008.10.008","ISSN":"1526-5900","issue":"2","language":"English","note":"PMID: 19187889","page":"113-130.e22","source":"www.jpain.org","title":"Clinical Guidelines for the Use of Chronic Opioid Therapy in Chronic Noncancer Pain","volume":"10","author":[{"family":"Chou","given":"Roger"},{"family":"Fanciullo","given":"Gilbert J."},{"family":"Fine","given":"Perry G."},{"family":"Adler","given":"Jeremy A."},{"family":"Ballantyne","given":"Jane C."},{"family":"Davies","given":"Pamela"},{"family":"Donovan","given":"Marilee I."},{"family":"Fishbain","given":"David A."},{"family":"Foley","given":"Kathy M."},{"family":"Fudin","given":"Jeffrey"},{"family":"Gilson","given":"Aaron M."},{"family":"Kelter","given":"Alexander"},{"family":"Mauskop","given":"Alexander"},{"family":"O'Connor","given":"Patrick G."},{"family":"Passik","given":"Steven D."},{"family":"Pasternak","given":"Gavril W."},{"family":"Portenoy","given":"Russell K."},{"family":"Rich","given":"Ben A."},{"family":"Roberts","given":"Richard G."},{"family":"Todd","given":"Knox H."},{"family":"Miaskowski","given":"Christine"}],"issued":{"date-parts":[["2009",2,1]]}}},{"id":11044,"uris":["http://zotero.org/users/1218045/items/DPSPF9DM"],"uri":["http://zotero.org/users/1218045/items/DPSPF9DM"],"itemData":{"id":11044,"type":"article","publisher":"American Pain Society, American Academy of Pain Medicine","title":"Guideline for the Use of Chronic Opioid Therapy in Chronic Noncancer Pain: Evidence Review","URL":"http://americanpainsociety.org/uploads/education/guidelines/chronic-opioid-therapy-cncp.pdf","author":[{"family":"American Pain Society, American Academy of Pain Medicine","given":""}],"accessed":{"date-parts":[["2016",6,27]]},"issued":{"date-parts":[["2009"]]}}}],"schema":"https://github.com/citation-style-language/schema/raw/master/csl-citation.json"}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[5–7]</w:t>
            </w:r>
            <w:r w:rsidRPr="00F46E6B">
              <w:rPr>
                <w:rFonts w:ascii="Times New Roman" w:hAnsi="Times New Roman" w:cs="Times New Roman"/>
                <w:sz w:val="18"/>
                <w:szCs w:val="18"/>
              </w:rPr>
              <w:fldChar w:fldCharType="end"/>
            </w:r>
          </w:p>
        </w:tc>
        <w:tc>
          <w:tcPr>
            <w:tcW w:w="1306" w:type="dxa"/>
          </w:tcPr>
          <w:p w14:paraId="3F6F3061" w14:textId="6E57CC62" w:rsidR="00563E4F" w:rsidRPr="00F46E6B" w:rsidRDefault="00563E4F" w:rsidP="00D40608">
            <w:pPr>
              <w:rPr>
                <w:rFonts w:ascii="Times New Roman" w:hAnsi="Times New Roman" w:cs="Times New Roman"/>
                <w:sz w:val="18"/>
                <w:szCs w:val="18"/>
              </w:rPr>
            </w:pPr>
          </w:p>
        </w:tc>
        <w:tc>
          <w:tcPr>
            <w:tcW w:w="3377" w:type="dxa"/>
          </w:tcPr>
          <w:p w14:paraId="59519D81" w14:textId="3108F36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2B1442F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466238C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00FD6601" w14:textId="4F4389B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4CBB4FFE"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067D8E6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72E308C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20473EC7" w14:textId="57C9154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 non-physicians or patients </w:t>
            </w:r>
          </w:p>
        </w:tc>
        <w:tc>
          <w:tcPr>
            <w:tcW w:w="1530" w:type="dxa"/>
          </w:tcPr>
          <w:p w14:paraId="588615E2" w14:textId="2555293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4F1B10AD" w14:textId="70821D3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2B02678E"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64B6E0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66C7F7C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207957D9"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A2BEF6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6B57076" w14:textId="328C3EE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Red flag </w:t>
            </w:r>
          </w:p>
        </w:tc>
        <w:tc>
          <w:tcPr>
            <w:tcW w:w="9900" w:type="dxa"/>
          </w:tcPr>
          <w:p w14:paraId="281F396A" w14:textId="3D7756F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Pharma </w:t>
            </w:r>
            <w:r w:rsidR="00F46E6B" w:rsidRPr="00F46E6B">
              <w:rPr>
                <w:rFonts w:ascii="Times New Roman" w:hAnsi="Times New Roman" w:cs="Times New Roman"/>
                <w:sz w:val="18"/>
                <w:szCs w:val="18"/>
              </w:rPr>
              <w:t xml:space="preserve">industry sponsors </w:t>
            </w:r>
            <w:r w:rsidR="00870E72">
              <w:rPr>
                <w:rFonts w:ascii="Times New Roman" w:hAnsi="Times New Roman" w:cs="Times New Roman"/>
                <w:sz w:val="18"/>
                <w:szCs w:val="18"/>
              </w:rPr>
              <w:t>reported in annual report</w:t>
            </w:r>
          </w:p>
          <w:p w14:paraId="50EA6E6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C9B1A0C" w14:textId="02926E0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Co-chairs- one with conflicts </w:t>
            </w:r>
          </w:p>
          <w:p w14:paraId="75431F04" w14:textId="60027DC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7 with </w:t>
            </w:r>
            <w:r w:rsidR="00F46E6B" w:rsidRPr="00F46E6B">
              <w:rPr>
                <w:rFonts w:ascii="Times New Roman" w:hAnsi="Times New Roman" w:cs="Times New Roman"/>
                <w:sz w:val="18"/>
                <w:szCs w:val="18"/>
              </w:rPr>
              <w:t>pharma industry conflicts</w:t>
            </w:r>
          </w:p>
          <w:p w14:paraId="2B09C26F" w14:textId="530D027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14 members, 1 addiction MD (1/14) (7%) </w:t>
            </w:r>
          </w:p>
          <w:p w14:paraId="3074D80B" w14:textId="708AC18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Chair is methodologist, expert in systematic reviews </w:t>
            </w:r>
          </w:p>
          <w:p w14:paraId="0D90EEEC" w14:textId="5C5AD76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Sent for external review</w:t>
            </w:r>
          </w:p>
          <w:p w14:paraId="3C118EDA" w14:textId="369ED35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Three non-physicians, no patients</w:t>
            </w:r>
          </w:p>
        </w:tc>
      </w:tr>
      <w:tr w:rsidR="00563E4F" w:rsidRPr="00F46E6B" w14:paraId="1E619FB8" w14:textId="77777777" w:rsidTr="00C5409F">
        <w:tc>
          <w:tcPr>
            <w:tcW w:w="1503" w:type="dxa"/>
          </w:tcPr>
          <w:p w14:paraId="11BA4916" w14:textId="774D9CA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Society of Anesthesiologists (ASA)</w:t>
            </w:r>
          </w:p>
        </w:tc>
        <w:tc>
          <w:tcPr>
            <w:tcW w:w="2376" w:type="dxa"/>
          </w:tcPr>
          <w:p w14:paraId="39C22E7B" w14:textId="06CF8E9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Practice Guidelines for Chronic Pain Management: An Updated Report by the American Society of Anesthesiologists Task Force on Chronic Pain Management and the American Society of Regional Anesthesia and Pain Medicine (2010)</w:t>
            </w:r>
          </w:p>
        </w:tc>
        <w:tc>
          <w:tcPr>
            <w:tcW w:w="709" w:type="dxa"/>
          </w:tcPr>
          <w:p w14:paraId="66B54482" w14:textId="3AE97E5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tpnik5j7s","properties":{"formattedCitation":"[8]","plainCitation":"[8]","noteIndex":0},"citationItems":[{"id":11060,"uris":["http://zotero.org/users/1218045/items/2F2HNWJN"],"uri":["http://zotero.org/users/1218045/items/2F2HNWJN"],"itemData":{"id":11060,"type":"article-journal","container-title":"Anesthesiology","DOI":"10.1097/ALN.0b013e3181c43103","ISSN":"1528-1175","issue":"4","journalAbbreviation":"Anesthesiology","language":"eng","note":"PMID: 20124882","page":"810-833","source":"PubMed","title":"Practice guidelines for chronic pain management: an updated report by the American Society of Anesthesiologists Task Force on Chronic Pain Management and the American Society of Regional Anesthesia and Pain Medicine","title-short":"Practice guidelines for chronic pain management","volume":"112","author":[{"literal":"American Society of Anesthesiologists Task Force on Chronic Pain Management"},{"literal":"American Society of Regional Anesthesia and Pain Medicine"}],"issued":{"date-parts":[["2010",4]]}}}],"schema":"https://github.com/citation-style-language/schema/raw/master/csl-citation.json"}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[8]</w:t>
            </w:r>
            <w:r w:rsidRPr="00F46E6B">
              <w:rPr>
                <w:rFonts w:ascii="Times New Roman" w:hAnsi="Times New Roman" w:cs="Times New Roman"/>
                <w:sz w:val="18"/>
                <w:szCs w:val="18"/>
              </w:rPr>
              <w:fldChar w:fldCharType="end"/>
            </w:r>
          </w:p>
        </w:tc>
        <w:tc>
          <w:tcPr>
            <w:tcW w:w="1306" w:type="dxa"/>
          </w:tcPr>
          <w:p w14:paraId="36584B42" w14:textId="77777777" w:rsidR="00563E4F" w:rsidRPr="00F46E6B" w:rsidRDefault="00563E4F" w:rsidP="00D40608">
            <w:pPr>
              <w:pStyle w:val="ListParagraph"/>
              <w:spacing w:after="60"/>
              <w:ind w:left="-104"/>
              <w:rPr>
                <w:rFonts w:ascii="Times New Roman" w:hAnsi="Times New Roman" w:cs="Times New Roman"/>
                <w:sz w:val="18"/>
                <w:szCs w:val="18"/>
              </w:rPr>
            </w:pPr>
            <w:r w:rsidRPr="00F46E6B">
              <w:rPr>
                <w:rFonts w:ascii="Times New Roman" w:hAnsi="Times New Roman" w:cs="Times New Roman"/>
                <w:sz w:val="18"/>
                <w:szCs w:val="18"/>
              </w:rPr>
              <w:t>Email communication</w:t>
            </w:r>
          </w:p>
          <w:p w14:paraId="13887621" w14:textId="3948BBC5" w:rsidR="00563E4F" w:rsidRPr="00F46E6B" w:rsidRDefault="00563E4F" w:rsidP="00D40608">
            <w:pPr>
              <w:rPr>
                <w:rFonts w:ascii="Times New Roman" w:hAnsi="Times New Roman" w:cs="Times New Roman"/>
                <w:sz w:val="18"/>
                <w:szCs w:val="18"/>
              </w:rPr>
            </w:pPr>
          </w:p>
        </w:tc>
        <w:tc>
          <w:tcPr>
            <w:tcW w:w="3377" w:type="dxa"/>
          </w:tcPr>
          <w:p w14:paraId="25D64C82" w14:textId="7A791E3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2941E03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5F4327F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2E604ED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3FBCBB4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466AAA8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051DCFC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432A28D0" w14:textId="704144F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5904902E" w14:textId="4AA7BC3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FED7AB4" w14:textId="270001A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1F1C169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39A9B0F" w14:textId="0C24588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p>
          <w:p w14:paraId="2D3B54E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5834320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570EF4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1587AE5" w14:textId="3898F08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6AFD3C12" w14:textId="55399AD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Has pharma</w:t>
            </w:r>
            <w:r w:rsidR="00870E72">
              <w:rPr>
                <w:rFonts w:ascii="Times New Roman" w:hAnsi="Times New Roman" w:cs="Times New Roman"/>
                <w:sz w:val="18"/>
                <w:szCs w:val="18"/>
              </w:rPr>
              <w:t xml:space="preserve"> industry sponsors in searches</w:t>
            </w:r>
          </w:p>
          <w:p w14:paraId="519611CC" w14:textId="1A1677C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05359069" w14:textId="4FAE8C7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None stated, no pharma industry conflicts in searches</w:t>
            </w:r>
          </w:p>
          <w:p w14:paraId="72F1C2B1" w14:textId="79DE53C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in guideline materials, when emailed, they refused to provide and put me in contract with their lawyer</w:t>
            </w:r>
          </w:p>
          <w:p w14:paraId="3FC6E322" w14:textId="760B8E1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13 members, none with addictions expertise</w:t>
            </w:r>
          </w:p>
          <w:p w14:paraId="4C04594E" w14:textId="171AB12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Two consulting methodologist from ASA standards committee</w:t>
            </w:r>
          </w:p>
          <w:p w14:paraId="5DE2E9E3" w14:textId="0AF152B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Review only within the ASA/ASRA and their national meetings</w:t>
            </w:r>
          </w:p>
          <w:p w14:paraId="4E75541F" w14:textId="108DF93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 non-physicians or patients on committee </w:t>
            </w:r>
          </w:p>
        </w:tc>
      </w:tr>
      <w:tr w:rsidR="00563E4F" w:rsidRPr="00F46E6B" w14:paraId="2DEC5F25" w14:textId="77777777" w:rsidTr="00C5409F">
        <w:tc>
          <w:tcPr>
            <w:tcW w:w="1503" w:type="dxa"/>
          </w:tcPr>
          <w:p w14:paraId="00B465A3" w14:textId="4AFC706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Society of Interventional Pain Physicians (ASIPP)</w:t>
            </w:r>
          </w:p>
        </w:tc>
        <w:tc>
          <w:tcPr>
            <w:tcW w:w="2376" w:type="dxa"/>
          </w:tcPr>
          <w:p w14:paraId="76ABE50B" w14:textId="5E3668D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American Society of Interventional Pain Physicians (ASIPP) Guidelines for Responsible Opioid Prescribing in Chronic Non-Cancer Pain (2012)</w:t>
            </w:r>
          </w:p>
        </w:tc>
        <w:tc>
          <w:tcPr>
            <w:tcW w:w="709" w:type="dxa"/>
          </w:tcPr>
          <w:p w14:paraId="4DC3F7FC" w14:textId="36D6A21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17vbe426tt","properties":{"formattedCitation":"[9,10]","plainCitation":"[9,10]","noteIndex":0},"citationItems":[{"id":11058,"uris":["http://zotero.org/users/1218045/items/WKFHKZGS"],"uri":["http://zotero.org/users/1218045/items/WKFHKZGS"],"itemData":{"id":11058,"type":"article-journal","abstract":"BACKGROUND: Opioid abuse has continued to increase at an alarming rate since the 1990 s. As documented by different medical specialties, medical boards, advocacy groups, and the Drug Enforcement Administration, available evidence suggests a wide variance in chronic opioid therapy of 90 days or longer in chronic non-cancer pain. Part 1 describes evidence assessment.\nOBJECTIVES: The objectives of opioid guidelines as issued by the American Society of Interventional Pain Physicians (ASIPP) are to provide guidance for the use of opioids for the treatment of chronic non-cancer pain, to produce consistency in the application of an opioid philosophy among the many diverse groups involved, to improve the treatment of chronic non-cancer pain, and to reduce the incidence of abuse and drug diversion. The focus of these guidelines is to curtail the abuse of opioids without jeopardizing non-cancer pain management with opioids.\nRESULTS: 1) There is good evidence that non-medical use of opioids is extensive; one-third of chronic pain patients may not use prescribed opioids as prescribed or may abuse them, and illicit drug use is significantly higher in these patients. 2) There is good evidence that opioid prescriptions are increasing rapidly, as the majority of prescriptions are from non-pain physicians, many patients are on long-acting opioids, and many patients are provided with combinations of long-acting and short-acting opioids. 3) There is good evidence that the increased supply of opioids, use of high dose opioids, doctor shoppers, and patients with multiple comorbid factors contribute to the majority of the fatalities. 4) There is fair evidence that long-acting opioids and a combination of long-acting and short-acting opioids contribute to increasing fatalities and that even low-doses of 40 mg or 50 mg of daily morphine equivalent doses may be responsible for emergency room admissions with overdoses and deaths. 5) There is good evidence that approximately 60% of fatalities originate from opioids prescribed within the guidelines, with approximately 40% of fatalities occurring in 10% of drug abusers. 6) The short-term effectiveness of opioids is fair, whereas the long-term effectiveness of opioids is limited due to a lack of long-term (&gt; 3 months) high quality studies, with fair evidence with no significant difference between long-acting and short-acting opioids. 7) Among the individual drugs, most opioids have fair evidence for short-term and limited evidence for long-term due to a lack of quality studies. 8) The evidence for the effectiveness and safety of chronic opioid therapy in the elderly for chronic non-cancer pain is fair for short-term and limited for long-term due to lack of high quality studies; limited in children and adolescents and patients with comorbid psychological disorders due to lack of quality studies; and the evidence is poor in pregnant women. 9) There is limited evidence for reliability and accuracy of screening tests for opioid abuse due to lack of high quality studies. 10) There is fair evidence to support the identification of patients who are non-compliant or abusing prescription drugs or illicit drugs through urine drug testing and prescription drug monitoring programs, both of which can reduce prescription drug abuse or doctor shopping.\nDISCLAIMER: The guidelines are based on the best available evidence and do not constitute inflexible treatment recommendations. Due to the changing body of evidence, this document is not intended to be a \"standard of care.\"","container-title":"Pain Physician","ISSN":"2150-1149","issue":"3 Suppl","journalAbbreviation":"Pain Physician","language":"eng","note":"PMID: 22786448","page":"S1-65","source":"PubMed","title":"American Society of Interventional Pain Physicians (ASIPP) guidelines for responsible opioid prescribing in chronic non-cancer pain: Part I--evidence assessment","title-short":"American Society of Interventional Pain Physicians (ASIPP) guidelines for responsible opioid prescribing in chronic non-cancer pain","volume":"15","author":[{"family":"Manchikanti","given":"Laxmaiah"},{"family":"Abdi","given":"Salahadin"},{"family":"Atluri","given":"Sairam"},{"family":"Balog","given":"Carl C."},{"family":"Benyamin","given":"Ramsin M."},{"family":"Boswell","given":"Mark V."},{"family":"Brown","given":"Keith R."},{"family":"Bruel","given":"Brian M."},{"family":"Bryce","given":"David A."},{"family":"Burks","given":"Patricia A."},{"family":"Burton","given":"Allen W."},{"family":"Calodney","given":"Aaron K."},{"family":"Caraway","given":"David L."},{"family":"Cash","given":"Kimberly A."},{"family":"Christo","given":"Paul J."},{"family":"Damron","given":"Kim S."},{"family":"Datta","given":"Sukdeb"},{"family":"Deer","given":"Timothy R."},{"family":"Diwan","given":"Sudhir"},{"family":"Eriator","given":"Ike"},{"family":"Falco","given":"Frank J. E."},{"family":"Fellows","given":"Bert"},{"family":"Geffert","given":"Stephanie"},{"family":"Gharibo","given":"Christopher G."},{"family":"Glaser","given":"Scott E."},{"family":"Grider","given":"Jay S."},{"family":"Hameed","given":"Haroon"},{"family":"Hameed","given":"Mariam"},{"family":"Hansen","given":"Hans"},{"family":"Harned","given":"Michael E."},{"family":"Hayek","given":"Salim M."},{"family":"Helm","given":"Standiford"},{"family":"Hirsch","given":"Joshua A."},{"family":"Janata","given":"Jeffrey W."},{"family":"Kaye","given":"Alan D."},{"family":"Kaye","given":"Adam M."},{"family":"Kloth","given":"David S."},{"family":"Koyyalagunta","given":"Dhanalakshmi"},{"family":"Lee","given":"Marion"},{"family":"Malla","given":"Yogesh"},{"family":"Manchikanti","given":"Kavita N."},{"family":"McManus","given":"Carla D."},{"family":"Pampati","given":"Vidyasagar"},{"family":"Parr","given":"Allan T."},{"family":"Pasupuleti","given":"Ramarao"},{"family":"Patel","given":"Vikram B."},{"family":"Sehgal","given":"Nalini"},{"family":"Silverman","given":"Sanford M."},{"family":"Singh","given":"Vijay"},{"family":"Smith","given":"Howard S."},{"family":"Snook","given":"Lee T."},{"family":"Solanki","given":"Daneshvari R."},{"family":"Tracy","given":"Deborah H."},{"family":"Vallejo","given":"Ricardo"},{"family":"Wargo","given":"Bradley W."},{"literal":"American Society of Interventional Pain Physicians"}],"issued":{"date-parts":[["2012",7]]}}},{"id":11055,"uris":["http://zotero.org/users/1218045/items/PPUEVIKL"],"uri":["http://zotero.org/users/1218045/items/PPUEVIKL"],"itemData":{"id":11055,"type":"article-journal","abstract":"RESULTS: Part 2 of the guidelines on responsible opioid prescribing provides the following recommendations for initiating and maintaining chronic opioid therapy of 90 days or longer. 1. A) Comprehensive assessment and documentation is recommended before initiating opioid therapy, including documentation of comprehensive history, general medical condition, psychosocial history, psychiatric status, and substance use history. (\nEVIDENCE: good) B) Despite limited evidence for reliability and accuracy, screening for opioid use is recommended, as it will identify opioid abusers and reduce opioid abuse. (\nEVIDENCE: limited) C) Prescription monitoring programs must be implemented, as they provide data on patterns of prescription usage, reduce prescription drug abuse or doctor shopping. (\nEVIDENCE: good to fair) D) Urine drug testing (UDT) must be implemented from initiation along with subsequent adherence monitoring to decrease prescription drug abuse or illicit drug use when patients are in chronic pain management therapy. (\nEVIDENCE: good) 2. A) Establish appropriate physical diagnosis and psychological diagnosis if available prior to initiating opioid therapy. (\nEVIDENCE: good) B) Caution must be exercised in ordering various imaging and other evaluations, interpretation and communication with the patient, to avoid increased fear, activity restriction, requests for increased opioids, and maladaptive behaviors. (\nEVIDENCE: good) C) Stratify patients into one of the 3 risk categories - low, medium, or high risk. D) A pain management consultation, may assist non-pain physicians, if high-dose opioid therapy is utilized. (\nEVIDENCE: fair) 3. Essential to establish medical necessity prior to initiation or maintenance of opioid therapy. (\nEVIDENCE: good) 4. Establish treatment goals of opioid therapy with regard to pain relief and improvement in function. (\nEVIDENCE: good) 5. A) Long-acting opioids in high doses are recommended only in specific circumstances with severe intractable pain that is not amenable to short-acting or moderate doses of long-acting opioids, as there is no significant difference between long-acting and short-acting opioids for their effectiveness or adverse effects. (\nEVIDENCE: fair) B) The relative and absolute contraindications to opioid use in chronic non-cancer pain must be evaluated including respiratory instability, acute psychiatric instability, uncontrolled suicide risk, active or history of alcohol or substance abuse, confirmed allergy to opioid agents, coadministration of drugs capable of inducing life-limiting drug interaction, concomitant use of benzodiazepines, active diversion of controlled substances, and concomitant use of heavy doses of central nervous system depressants. (\nEVIDENCE: fair to limited) 6. A robust agreement which is followed by all parties is essential in initiating and maintaining opioid therapy as such agreements reduce overuse, misuse, abuse, and diversion. (\nEVIDENCE: fair) 7. A) Once medical necessity is established, opioid therapy may be initiated with low doses and short-acting drugs with appropriate monitoring to provide effective relief and avoid side effects. (\nEVIDENCE: fair for short-term effectiveness, limited for long-term effectiveness) B) Up to 40 mg of morphine equivalent is considered as low dose, 41 to 90 mg of morphine equivalent as a moderate dose, and greater than 91 mg of morphine equivalence as high dose. (\nEVIDENCE: fair) C) In reference to long-acting opioids, titration must be carried out with caution and overdose and misuse must be avoided. (\nEVIDENCE: good) 8. A) Methadone is recommended for use in late stages after failure of other opioid therapy and only by clinicians with specific training in the risks and uses. (\nEVIDENCE: limited) B) Monitoring recommendation for methadone prescription is that an electrocardiogram should be obtained prior to initiation, at 30 days and yearly thereafter. (\nEVIDENCE: fair) 9. In order to reduce prescription drug abuse and doctor shopping, adherence monitoring by UDT and PMDPs provide evidence that is essential to the identification of those patients who are non-compliant or abusing prescription drugs or illicit drugs. (\nEVIDENCE: fair) 10. Constipation must be closely monitored and a bowel regimen be initiated as soon as deemed necessary. (\nEVIDENCE: good) 11. Chronic opioid therapy may be continued, with continuous adherence monitoring, in well-selected populations, in conjunction with or after failure of other modalities of treatments with improvement in physical and functional status and minimal adverse effects. (\nEVIDENCE: fair).\nDISCLAIMER: The guidelines are based on the best available evidence and do not constitute inflexible treatment recommendations. Due to the changing body of evidence, this document is not intended to be a \"standard of care.\"","container-title":"Pain Physician","ISSN":"2150-1149","issue":"3 Suppl","journalAbbreviation":"Pain Physician","language":"eng","note":"PMID: 22786449","page":"S67-116","source":"PubMed","title":"American Society of Interventional Pain Physicians (ASIPP) guidelines for responsible opioid prescribing in chronic non-cancer pain: Part 2--guidance","title-short":"American Society of Interventional Pain Physicians (ASIPP) guidelines for responsible opioid prescribing in chronic non-cancer pain","volume":"15","author":[{"family":"Manchikanti","given":"Laxmaiah"},{"family":"Abdi","given":"Salahadin"},{"family":"Atluri","given":"Sairam"},{"family":"Balog","given":"Carl C."},{"family":"Benyamin","given":"Ramsin M."},{"family":"Boswell","given":"Mark V."},{"family":"Brown","given":"Keith R."},{"family":"Bruel","given":"Brian M."},{"family":"Bryce","given":"David A."},{"family":"Burks","given":"Patricia A."},{"family":"Burton","given":"Allen W."},{"family":"Calodney","given":"Aaron K."},{"family":"Caraway","given":"David L."},{"family":"Cash","given":"Kimberly A."},{"family":"Christo","given":"Paul J."},{"family":"Damron","given":"Kim S."},{"family":"Datta","given":"Sukdeb"},{"family":"Deer","given":"Timothy R."},{"family":"Diwan","given":"Sudhir"},{"family":"Eriator","given":"Ike"},{"family":"Falco","given":"Frank J. E."},{"family":"Fellows","given":"Bert"},{"family":"Geffert","given":"Stephanie"},{"family":"Gharibo","given":"Christopher G."},{"family":"Glaser","given":"Scott E."},{"family":"Grider","given":"Jay S."},{"family":"Hameed","given":"Haroon"},{"family":"Hameed","given":"Mariam"},{"family":"Hansen","given":"Hans"},{"family":"Harned","given":"Michael E."},{"family":"Hayek","given":"Salim M."},{"family":"Helm","given":"Standiford"},{"family":"Hirsch","given":"Joshua A."},{"family":"Janata","given":"Jeffrey W."},{"family":"Kaye","given":"Alan D."},{"family":"Kaye","given":"Adam M."},{"family":"Kloth","given":"David S."},{"family":"Koyyalagunta","given":"Dhanalakshmi"},{"family":"Lee","given":"Marion"},{"family":"Malla","given":"Yogesh"},{"family":"Manchikanti","given":"Kavita N."},{"family":"McManus","given":"Carla D."},{"family":"Pampati","given":"Vidyasagar"},{"family":"Parr","given":"Allan T."},{"family":"Pasupuleti","given":"Ramarao"},{"family":"Patel","given":"Vikram B."},{"family":"Sehgal","given":"Nalini"},{"family":"Silverman","given":"Sanford M."},{"family":"Singh","given":"Vijay"},{"family":"Smith","given":"Howard S."},{"family":"Snook","given":"Lee T."},{"family":"Solanki","given":"Daneshvari R."},{"family":"Tracy","given":"Deborah H."},{"family":"Vallejo","given":"Ricardo"},{"family":"Wargo","given":"Bradley W."},{"literal":"American Society of Interventional Pain Physicians"}],"issued":{"date-parts":[["2012",7]]}}}],"schema":"https://github.com/citation-style-language/schema/raw/master/csl-citation.json"}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[9,10]</w:t>
            </w:r>
            <w:r w:rsidRPr="00F46E6B">
              <w:rPr>
                <w:rFonts w:ascii="Times New Roman" w:hAnsi="Times New Roman" w:cs="Times New Roman"/>
                <w:sz w:val="18"/>
                <w:szCs w:val="18"/>
              </w:rPr>
              <w:fldChar w:fldCharType="end"/>
            </w:r>
          </w:p>
        </w:tc>
        <w:tc>
          <w:tcPr>
            <w:tcW w:w="1306" w:type="dxa"/>
          </w:tcPr>
          <w:p w14:paraId="20BD33A3" w14:textId="744C02E2" w:rsidR="00563E4F" w:rsidRPr="00F46E6B" w:rsidRDefault="00563E4F" w:rsidP="00D40608">
            <w:pPr>
              <w:rPr>
                <w:rFonts w:ascii="Times New Roman" w:hAnsi="Times New Roman" w:cs="Times New Roman"/>
                <w:sz w:val="18"/>
                <w:szCs w:val="18"/>
              </w:rPr>
            </w:pPr>
          </w:p>
        </w:tc>
        <w:tc>
          <w:tcPr>
            <w:tcW w:w="3377" w:type="dxa"/>
          </w:tcPr>
          <w:p w14:paraId="5E76371A" w14:textId="7560E1A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782CBF9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67BF6B0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3579138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00EE054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464DE86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35D8E52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3831464E" w14:textId="639800E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4AC828BE" w14:textId="464B9AF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5D85AE68" w14:textId="463CD91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7BCFEF7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73229E64"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2234D67" w14:textId="77777777" w:rsidR="00563E4F" w:rsidRPr="00F46E6B" w:rsidRDefault="00563E4F" w:rsidP="00D40608">
            <w:pPr>
              <w:rPr>
                <w:rFonts w:ascii="Times New Roman" w:hAnsi="Times New Roman" w:cs="Times New Roman"/>
                <w:color w:val="FF0000"/>
                <w:sz w:val="18"/>
                <w:szCs w:val="18"/>
              </w:rPr>
            </w:pPr>
            <w:r w:rsidRPr="00F46E6B">
              <w:rPr>
                <w:rFonts w:ascii="Times New Roman" w:hAnsi="Times New Roman" w:cs="Times New Roman"/>
                <w:sz w:val="18"/>
                <w:szCs w:val="18"/>
              </w:rPr>
              <w:t>Red flag</w:t>
            </w:r>
          </w:p>
          <w:p w14:paraId="6F5D319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65458C5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EFD5187" w14:textId="382678F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576B0A61" w14:textId="5F74A85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 pharm</w:t>
            </w:r>
            <w:r w:rsidR="00482C82">
              <w:rPr>
                <w:rFonts w:ascii="Times New Roman" w:hAnsi="Times New Roman" w:cs="Times New Roman"/>
                <w:sz w:val="18"/>
                <w:szCs w:val="18"/>
              </w:rPr>
              <w:t>a funding found in searches</w:t>
            </w:r>
          </w:p>
          <w:p w14:paraId="2DA4B9CA" w14:textId="23784D7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191B116E" w14:textId="77777777" w:rsidR="00F46E6B" w:rsidRPr="00F46E6B" w:rsidRDefault="00F46E6B" w:rsidP="00F46E6B">
            <w:pPr>
              <w:rPr>
                <w:rFonts w:ascii="Times New Roman" w:hAnsi="Times New Roman" w:cs="Times New Roman"/>
                <w:sz w:val="18"/>
                <w:szCs w:val="18"/>
              </w:rPr>
            </w:pPr>
            <w:r w:rsidRPr="00F46E6B">
              <w:rPr>
                <w:rFonts w:ascii="Times New Roman" w:hAnsi="Times New Roman" w:cs="Times New Roman"/>
                <w:sz w:val="18"/>
                <w:szCs w:val="18"/>
              </w:rPr>
              <w:t>None stated, no pharma industry conflicts in searches</w:t>
            </w:r>
          </w:p>
          <w:p w14:paraId="38867B7B" w14:textId="3C3B352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1 author had conflicts of interest with pharma industry (1/55) </w:t>
            </w:r>
          </w:p>
          <w:p w14:paraId="1A3BE3F8" w14:textId="595C439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55 members, no addiction experts </w:t>
            </w:r>
          </w:p>
          <w:p w14:paraId="59412C04" w14:textId="3442887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methodologist in lead role/oversight role</w:t>
            </w:r>
          </w:p>
          <w:p w14:paraId="11D7DDA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Sent for external review</w:t>
            </w:r>
          </w:p>
          <w:p w14:paraId="6F4BE3E6" w14:textId="777A367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Some non-physicians, no patients </w:t>
            </w:r>
          </w:p>
        </w:tc>
      </w:tr>
      <w:tr w:rsidR="00563E4F" w:rsidRPr="00F46E6B" w14:paraId="01C211D2" w14:textId="77777777" w:rsidTr="00C5409F">
        <w:tc>
          <w:tcPr>
            <w:tcW w:w="1503" w:type="dxa"/>
          </w:tcPr>
          <w:p w14:paraId="1919F666" w14:textId="215DFC4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National Opioid Use Guideline Group (NOUGG)</w:t>
            </w:r>
          </w:p>
        </w:tc>
        <w:tc>
          <w:tcPr>
            <w:tcW w:w="2376" w:type="dxa"/>
          </w:tcPr>
          <w:p w14:paraId="6379331B" w14:textId="4D552D7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Canadian Guideline for Safe and Effective Use of Opioids for Chronic Non-Cancer Pain (2010)</w:t>
            </w:r>
          </w:p>
        </w:tc>
        <w:tc>
          <w:tcPr>
            <w:tcW w:w="709" w:type="dxa"/>
          </w:tcPr>
          <w:p w14:paraId="653D36EE" w14:textId="6E396AD2" w:rsidR="00563E4F" w:rsidRPr="00F46E6B" w:rsidRDefault="00563E4F" w:rsidP="00F6623C">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om5qeu0lb","properties":{"formattedCitation":"[11\\uc0\\u8211{}14]","plainCitation":"[11–14]","noteIndex":0},"citationItems":[{"id":11053,"uris":["http://zotero.org/users/1218045/items/9Q3AAV5I"],"uri":["http://zotero.org/users/1218045/items/9Q3AAV5I"],"itemData":{"id":11053,"type":"article-journal","container-title":"CMAJ: Canadian Medical Association journal = journal de l'Association medicale canadienne","DOI":"10.1503/cmaj.100187","ISSN":"1488-2329","issue":"9","journalAbbreviation":"CMAJ","language":"eng","note":"PMID: 20439443\nPMCID: PMC2882451","page":"923-930","source":"PubMed","title":"Opioids for chronic noncancer pain: a new Canadian practice guideline","title-short":"Opioids for chronic noncancer pain","volume":"182","author":[{"family":"Furlan","given":"Andrea D."},{"family":"Reardon","given":"Rhoda"},{"family":"Weppler","given":"Clarence"},{"literal":"National Opioid Use Guideline Group"}],"issued":{"date-parts":[["2010",6,15]]}}},{"id":11043,"uris":["http://zotero.org/users/1218045/items/BPYAIN8G"],"uri":["http://zotero.org/users/1218045/items/BPYAIN8G"],"itemData":{"id":11043,"type":"article","publisher":"National Pain Centre","title":"Canadian Guideline for Safe and Effective Use of Opioids for Chronic Non-Cancer Pain","URL":"http://nationalpaincentre.mcmaster.ca/opioid_2010/","author":[{"family":"National Opioid Use Guideline Group","given":""}],"accessed":{"date-parts":[["2016",4,12]]},"issued":{"date-parts":[["2010"]]}}},{"id":11042,"uris":["http://zotero.org/users/1218045/items/S5MJXE9M"],"uri":["http://zotero.org/users/1218045/items/S5MJXE9M"],"itemData":{"id":11042,"type":"article-journal","abstract":"OBJECTIVE: To provide family physicians with a practical clinical summary of the Canadian Guideline for Safe and Effective Use of Opioids for Chronic Non-Cancer Pain, developed by the National Opioid Use Guideline Group.\nQUALITY OF EVIDENCE: Researchers for the guideline conducted a systematic review of the literature on the effectiveness and safety of opioids for chronic noncancer pain, and drafted a series of recommendations. A panel of 49 clinicians from across Canada reviewed the draft and achieved consensus on 24 recommendations.\nMAIN MESSAGE: Screening for addiction risk is recommended before prescribing opioids. Weak opioids (codeine and tramadol) are recommended for mild to moderate pain that has not responded to first-line treatments. Oxycodone, hydromorphone, and morphine can be tried in patients who have not responded to weaker opioids. A low initial dose and slow upward titration is recommended, with patient education and close monitoring. Physicians should watch for the development of complications such as sleep apnea. The optimal dose is one which improves function or decreases pain ratings by at least 30%. For by far most patients, the optimal dose will be well below a 200-mg morphine equivalent dose per day. Tapering is recommended for patients who have not responded to an adequate opioid trial.\nCONCLUSION: Opioids play an important role in the management of chronic noncancer pain, but careful prescribing is needed to limit potential harms. The new Canadian guideline provides much-needed guidance to help physicians achieve a balance between optimal pain control and safety.","container-title":"Canadian Family Physician Medecin De Famille Canadien","ISSN":"1715-5258","issue":"11","journalAbbreviation":"Can Fam Physician","language":"eng, fre","note":"PMID: 22084455\nPMCID: PMC3215602","page":"1257-1266, e407-418","source":"PubMed","title":"Canadian guideline for safe and effective use of opioids for chronic noncancer pain: clinical summary for family physicians. Part 1: general population","title-short":"Canadian guideline for safe and effective use of opioids for chronic noncancer pain","volume":"57","author":[{"family":"Kahan","given":"Meldon"},{"family":"Mailis-Gagnon","given":"Angela"},{"family":"Wilson","given":"Lynn"},{"family":"Srivastava","given":"Anita"},{"literal":"National Opioid Use Guideline Group"}],"issued":{"date-parts":[["2011",11]]}}},{"id":11041,"uris":["http://zotero.org/users/1218045/items/5HFPNVW9"],"uri":["http://zotero.org/users/1218045/items/5HFPNVW9"],"itemData":{"id":11041,"type":"article-journal","abstract":"OBJECTIVE: To provide family physicians with a practical clinical summary of opioid prescribing for specific populations based on recommendations from the Canadian Guideline for Safe and Effective Use of Opioids for Chronic Non-Cancer Pain.\nQUALITY OF EVIDENCE: Researchers for the guideline conducted a systematic review of the literature, focusing on reviews of the effectiveness and safety of opioids in specific populations.\nMAIN MESSAGE: Family physicians can minimize the risks of overdose, sedation, misuse, and addiction through the use of strategies tailored to the age and health status of patients. For patients at high risk of addiction, opioids should be reserved for well-defined nociceptive or neuropathic pain conditions that have not responded to first-line treatments. Opioids should be titrated slowly, with frequent dispensing and close monitoring for signs of misuse. Suspected opioid addiction is managed with structured opioid therapy, methadone or buprenorphine treatment, or abstinence-based treatment. Patients with mood and anxiety disorders tend to have a blunted analgesic response to opioids, are at higher risk of misuse, and are often taking sedating drugs that interact adversely with opioids. Precautions similar to those for other high-risk patients should be employed. The opioid should be tapered if the patient's pain remains severe despite an adequate trial of opioid therapy. In the elderly, sedation, falls, and overdose can be minimized through lower initial doses, slower titration, benzodiazepine tapering, and careful patient education. For pregnant women taking daily opioid therapy, the opioids should be slowly tapered and discontinued. If this is not possible, they should be tapered to the lowest effective dose. Opioid-dependent pregnant women should receive methadone treatment. Adolescents are at high risk of opioid overdose, misuse, and addiction. Patients with adolescents living at home should store their opioid medication safely. Adolescents rarely require long-term opioid therapy.\nCONCLUSION: Family physicians must take into consideration the patient's age, psychiatric status, level of risk of addiction, and other factors when prescribing opioids for chronic pain.","container-title":"Canadian Family Physician Medecin De Famille Canadien","ISSN":"1715-5258","issue":"11","journalAbbreviation":"Can Fam Physician","language":"eng, fre","note":"PMID: 22084456\nPMCID: PMC3215603","page":"1269-1276, e419-428","source":"PubMed","title":"Canadian guideline for safe and effective use of opioids for chronic noncancer pain: clinical summary for family physicians. Part 2: special populations","title-short":"Canadian guideline for safe and effective use of opioids for chronic noncancer pain","volume":"57","author":[{"family":"Kahan","given":"Meldon"},{"family":"Wilson","given":"Lynn"},{"family":"Mailis-Gagnon","given":"Angela"},{"family":"Srivastava","given":"Anita"},{"literal":"National Opioid Use Guideline Group"}],"issued":{"date-parts":[["2011",11]]}}}],"schema":"https://github.com/citation-style-language/schema/raw/master/csl-citation.json"}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[11–14]</w:t>
            </w:r>
            <w:r w:rsidRPr="00F46E6B">
              <w:rPr>
                <w:rFonts w:ascii="Times New Roman" w:hAnsi="Times New Roman" w:cs="Times New Roman"/>
                <w:sz w:val="18"/>
                <w:szCs w:val="18"/>
              </w:rPr>
              <w:fldChar w:fldCharType="end"/>
            </w:r>
          </w:p>
        </w:tc>
        <w:tc>
          <w:tcPr>
            <w:tcW w:w="1306" w:type="dxa"/>
          </w:tcPr>
          <w:p w14:paraId="379517EC" w14:textId="23178520" w:rsidR="00563E4F" w:rsidRPr="00F46E6B" w:rsidRDefault="00563E4F" w:rsidP="00D40608">
            <w:pPr>
              <w:rPr>
                <w:rFonts w:ascii="Times New Roman" w:hAnsi="Times New Roman" w:cs="Times New Roman"/>
                <w:sz w:val="18"/>
                <w:szCs w:val="18"/>
              </w:rPr>
            </w:pPr>
          </w:p>
        </w:tc>
        <w:tc>
          <w:tcPr>
            <w:tcW w:w="3377" w:type="dxa"/>
          </w:tcPr>
          <w:p w14:paraId="69CA18E5" w14:textId="2F6B046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0929FD5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2AE86E3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31D7E5C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w:t>
            </w:r>
          </w:p>
          <w:p w14:paraId="4296E1E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31662AB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3782BF9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lastRenderedPageBreak/>
              <w:t>No external review</w:t>
            </w:r>
          </w:p>
          <w:p w14:paraId="4E4565A2" w14:textId="2FE3ADA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6AE530A9" w14:textId="276115E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lastRenderedPageBreak/>
              <w:t>No flag</w:t>
            </w:r>
          </w:p>
          <w:p w14:paraId="5291405D" w14:textId="4907885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7588BEE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A0F7E6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5F7105F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DFEB8B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7FFFF74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lastRenderedPageBreak/>
              <w:t>No flag</w:t>
            </w:r>
          </w:p>
          <w:p w14:paraId="7CC1D475" w14:textId="19BD3EC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Red flag </w:t>
            </w:r>
          </w:p>
        </w:tc>
        <w:tc>
          <w:tcPr>
            <w:tcW w:w="9900" w:type="dxa"/>
          </w:tcPr>
          <w:p w14:paraId="4F55E3C8" w14:textId="3F3045AA"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lastRenderedPageBreak/>
              <w:t xml:space="preserve">Stated funded by governmental grant to NOUGG, a subcommittee of Federation of Medical Regulatory Authorities of Canada </w:t>
            </w:r>
          </w:p>
          <w:p w14:paraId="664C9C39" w14:textId="24123424"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N/A</w:t>
            </w:r>
          </w:p>
          <w:p w14:paraId="653C5AAB" w14:textId="6F593645"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Stated one had conflicts of interest with pharma (two immediate family members worked for pharma industry)</w:t>
            </w:r>
          </w:p>
          <w:p w14:paraId="6220E991" w14:textId="77777777"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Stated: 3/5 conflicts of interest with pharma industry</w:t>
            </w:r>
          </w:p>
          <w:p w14:paraId="4B83A096" w14:textId="36558DF9"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5 members, 3/5 addictions expertise</w:t>
            </w:r>
          </w:p>
          <w:p w14:paraId="0B6A035E" w14:textId="77777777"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Chair is epidemiologist</w:t>
            </w:r>
          </w:p>
          <w:p w14:paraId="64E42EE6" w14:textId="77777777"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lastRenderedPageBreak/>
              <w:t>Sent for external review</w:t>
            </w:r>
          </w:p>
          <w:p w14:paraId="4A615B20" w14:textId="03B7D99B" w:rsidR="00563E4F" w:rsidRPr="00F46E6B" w:rsidRDefault="00563E4F" w:rsidP="00D40608">
            <w:pPr>
              <w:rPr>
                <w:rFonts w:ascii="Times New Roman" w:eastAsia="Times New Roman" w:hAnsi="Times New Roman" w:cs="Times New Roman"/>
                <w:sz w:val="18"/>
                <w:szCs w:val="18"/>
              </w:rPr>
            </w:pPr>
            <w:r w:rsidRPr="00F46E6B">
              <w:rPr>
                <w:rFonts w:ascii="Times New Roman" w:eastAsia="Times New Roman" w:hAnsi="Times New Roman" w:cs="Times New Roman"/>
                <w:sz w:val="18"/>
                <w:szCs w:val="18"/>
              </w:rPr>
              <w:t>No patients on committee, some non-physicians</w:t>
            </w:r>
          </w:p>
        </w:tc>
      </w:tr>
      <w:tr w:rsidR="00563E4F" w:rsidRPr="00F46E6B" w14:paraId="47761351" w14:textId="77777777" w:rsidTr="00C5409F">
        <w:tc>
          <w:tcPr>
            <w:tcW w:w="1503" w:type="dxa"/>
          </w:tcPr>
          <w:p w14:paraId="60BA9AE9" w14:textId="20E81D4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lastRenderedPageBreak/>
              <w:t>Colorado Division of Workers’ Compensation (Colorado DWC)</w:t>
            </w:r>
          </w:p>
        </w:tc>
        <w:tc>
          <w:tcPr>
            <w:tcW w:w="2376" w:type="dxa"/>
          </w:tcPr>
          <w:p w14:paraId="77D2B920" w14:textId="0B5FF54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Chronic Pain Disorder Medical Treatment Guidelines (2011)</w:t>
            </w:r>
          </w:p>
        </w:tc>
        <w:tc>
          <w:tcPr>
            <w:tcW w:w="709" w:type="dxa"/>
          </w:tcPr>
          <w:p w14:paraId="72E9B509" w14:textId="14E2405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15fo5afkiq","properties":{"formattedCitation":"[15]","plainCitation":"[15]","noteIndex":0},"citationItems":[{"id":11047,"uris":["http://zotero.org/users/1218045/items/SDE4INHF"],"uri":["http://zotero.org/users/1218045/items/SDE4INHF"],"itemData":{"id":11047,"type":"article","publisher":"Colorado Division of Workers' Compensation","title":"Chronic Pain Disorder Medical Treatment Guidelines","author":[{"family":"Colorado Division of Workers' Compensation","given":""}],"issued":{"date-parts":[["2011"]]}}}],"schema":"https://github.com/citation-style-language/schema/raw/master/csl-citation.json"}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[15]</w:t>
            </w:r>
            <w:r w:rsidRPr="00F46E6B">
              <w:rPr>
                <w:rFonts w:ascii="Times New Roman" w:hAnsi="Times New Roman" w:cs="Times New Roman"/>
                <w:sz w:val="18"/>
                <w:szCs w:val="18"/>
              </w:rPr>
              <w:fldChar w:fldCharType="end"/>
            </w:r>
          </w:p>
        </w:tc>
        <w:tc>
          <w:tcPr>
            <w:tcW w:w="1306" w:type="dxa"/>
          </w:tcPr>
          <w:p w14:paraId="3097B3FA" w14:textId="101A00A8" w:rsidR="00563E4F" w:rsidRPr="00F46E6B" w:rsidRDefault="00563E4F" w:rsidP="00D40608">
            <w:pPr>
              <w:pStyle w:val="ListParagraph"/>
              <w:spacing w:after="60"/>
              <w:ind w:left="-104"/>
              <w:rPr>
                <w:rFonts w:ascii="Times New Roman" w:hAnsi="Times New Roman" w:cs="Times New Roman"/>
                <w:sz w:val="18"/>
                <w:szCs w:val="18"/>
              </w:rPr>
            </w:pPr>
            <w:r w:rsidRPr="00F46E6B">
              <w:rPr>
                <w:rFonts w:ascii="Times New Roman" w:hAnsi="Times New Roman" w:cs="Times New Roman"/>
                <w:sz w:val="18"/>
                <w:szCs w:val="18"/>
              </w:rPr>
              <w:t>Email communication</w:t>
            </w:r>
          </w:p>
          <w:p w14:paraId="266533F0" w14:textId="585ADB30" w:rsidR="00563E4F" w:rsidRPr="00F46E6B" w:rsidRDefault="00563E4F" w:rsidP="00D40608">
            <w:pPr>
              <w:rPr>
                <w:rFonts w:ascii="Times New Roman" w:hAnsi="Times New Roman" w:cs="Times New Roman"/>
                <w:sz w:val="18"/>
                <w:szCs w:val="18"/>
              </w:rPr>
            </w:pPr>
          </w:p>
        </w:tc>
        <w:tc>
          <w:tcPr>
            <w:tcW w:w="3377" w:type="dxa"/>
          </w:tcPr>
          <w:p w14:paraId="740F010D" w14:textId="4C09935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7EA8496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1914F40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53E24A8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2B52917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19A322F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228192C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08D27E0D" w14:textId="7516E11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4F8F24B5" w14:textId="41053DB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11CF7AA" w14:textId="65968CD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180128A" w14:textId="0D139BD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p>
          <w:p w14:paraId="6954095A" w14:textId="784A58A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p>
          <w:p w14:paraId="57F7BE0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5640ECF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3CF162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390E5776" w14:textId="0A916A8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Red flag </w:t>
            </w:r>
          </w:p>
        </w:tc>
        <w:tc>
          <w:tcPr>
            <w:tcW w:w="9900" w:type="dxa"/>
          </w:tcPr>
          <w:p w14:paraId="5F7B31C5" w14:textId="24A832B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w:t>
            </w:r>
            <w:r w:rsidR="00482C82">
              <w:rPr>
                <w:rFonts w:ascii="Times New Roman" w:hAnsi="Times New Roman" w:cs="Times New Roman"/>
                <w:sz w:val="18"/>
                <w:szCs w:val="18"/>
              </w:rPr>
              <w:t>, n</w:t>
            </w:r>
            <w:r w:rsidRPr="00F46E6B">
              <w:rPr>
                <w:rFonts w:ascii="Times New Roman" w:hAnsi="Times New Roman" w:cs="Times New Roman"/>
                <w:sz w:val="18"/>
                <w:szCs w:val="18"/>
              </w:rPr>
              <w:t>o pharma industry funding foun</w:t>
            </w:r>
            <w:r w:rsidR="00482C82">
              <w:rPr>
                <w:rFonts w:ascii="Times New Roman" w:hAnsi="Times New Roman" w:cs="Times New Roman"/>
                <w:sz w:val="18"/>
                <w:szCs w:val="18"/>
              </w:rPr>
              <w:t>d in searches</w:t>
            </w:r>
          </w:p>
          <w:p w14:paraId="14314A6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41FF2FB9" w14:textId="496521B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Email response Colorado DWC, chairs not named, COI not collected at time </w:t>
            </w:r>
          </w:p>
          <w:p w14:paraId="75D6A6CB" w14:textId="47F04BF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Not done at time according to email response from Colorado DWC</w:t>
            </w:r>
          </w:p>
          <w:p w14:paraId="46C9AABD" w14:textId="2842B27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15 members, 2 addiction expertise (2/15) (13%) </w:t>
            </w:r>
          </w:p>
          <w:p w14:paraId="41A7EB34"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None listed</w:t>
            </w:r>
          </w:p>
          <w:p w14:paraId="5523EE0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 mentioned</w:t>
            </w:r>
          </w:p>
          <w:p w14:paraId="3CD591AF" w14:textId="6DF04B6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Non physicians, no patients </w:t>
            </w:r>
          </w:p>
        </w:tc>
      </w:tr>
      <w:tr w:rsidR="00563E4F" w:rsidRPr="00F46E6B" w14:paraId="14D1BCD4" w14:textId="77777777" w:rsidTr="00C5409F">
        <w:tc>
          <w:tcPr>
            <w:tcW w:w="1503" w:type="dxa"/>
          </w:tcPr>
          <w:p w14:paraId="1B24B105" w14:textId="34D1356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Fine et al, 2009</w:t>
            </w:r>
          </w:p>
        </w:tc>
        <w:tc>
          <w:tcPr>
            <w:tcW w:w="2376" w:type="dxa"/>
          </w:tcPr>
          <w:p w14:paraId="16EB6A45" w14:textId="292DA97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Establishing “Best Practices” for Opioid Rotation: Conclusions of an Expert Panel (2009)</w:t>
            </w:r>
          </w:p>
        </w:tc>
        <w:tc>
          <w:tcPr>
            <w:tcW w:w="709" w:type="dxa"/>
          </w:tcPr>
          <w:p w14:paraId="663D21AB" w14:textId="406D423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8ssidelcs","properties":{"formattedCitation":"[16]","plainCitation":"[16]","noteIndex":0},"citationItems":[{"id":11061,"uris":["http://zotero.org/users/1218045/items/68NSZP3T"],"uri":["http://zotero.org/users/1218045/items/68NSZP3T"],"itemData":{"id":11061,"type":"article-journal","abstract":"Opioid rotation is a strategy applied during opioid therapy for pain that refers to a switch from one opioid to another in an effort to improve clinical outcomes (benefits or harms). It begins with the selection of a new drug at a starting dose that minimizes potential risks while ideally maintaining analgesic efficacy. The selection of a starting dose must be informed by an estimate of the relative potency between the existing opioid and the new one. Clinically relevant estimates of relative analgesic potency have been codified in the \"equianalgesic dose table,\" which has been used with little modification for more than 40 years. New information about relative potency and the growing implementation of long-term opioid therapy for chronic pain provided a strong rationale for the convening of an expert panel to discuss the scientific foundation to opioid rotation and the elements that now should inform a clinical guideline for this practice. The panel affirmed both the value and the limitations of the current equianalgesic dose table and proposed a guideline intended to promote safety during opioid rotation.","container-title":"Journal of Pain and Symptom Management","DOI":"10.1016/j.jpainsymman.2009.06.002","ISSN":"1873-6513","issue":"3","journalAbbreviation":"J Pain Symptom Manage","language":"eng","note":"PMID: 19735902\nPMCID: PMC4065110","page":"418-425","source":"PubMed","title":"Establishing \"best practices\" for opioid rotation: conclusions of an expert panel","title-short":"Establishing \"best practices\" for opioid rotation","volume":"38","author":[{"family":"Fine","given":"Perry G."},{"family":"Portenoy","given":"Russell K."},{"literal":"Ad Hoc Expert Panel on Evidence Review and Guidelines for Opioid Rotation"}],"issued":{"date-parts":[["2009",9]]}}}],"schema":"https://github.com/citation-style-language/schema/raw/master/csl-citation.json"}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[16]</w:t>
            </w:r>
            <w:r w:rsidRPr="00F46E6B">
              <w:rPr>
                <w:rFonts w:ascii="Times New Roman" w:hAnsi="Times New Roman" w:cs="Times New Roman"/>
                <w:sz w:val="18"/>
                <w:szCs w:val="18"/>
              </w:rPr>
              <w:fldChar w:fldCharType="end"/>
            </w:r>
          </w:p>
        </w:tc>
        <w:tc>
          <w:tcPr>
            <w:tcW w:w="1306" w:type="dxa"/>
          </w:tcPr>
          <w:p w14:paraId="14F00C25" w14:textId="46E05B1B" w:rsidR="00563E4F" w:rsidRPr="00F46E6B" w:rsidRDefault="00563E4F" w:rsidP="00D40608">
            <w:pPr>
              <w:rPr>
                <w:rFonts w:ascii="Times New Roman" w:hAnsi="Times New Roman" w:cs="Times New Roman"/>
                <w:sz w:val="18"/>
                <w:szCs w:val="18"/>
              </w:rPr>
            </w:pPr>
          </w:p>
        </w:tc>
        <w:tc>
          <w:tcPr>
            <w:tcW w:w="3377" w:type="dxa"/>
          </w:tcPr>
          <w:p w14:paraId="5FFB5D71" w14:textId="0612A92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493CA83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370E42F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392BB04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5C17917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0F34D9C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7994573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7058E916" w14:textId="1FB418B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3BADC7CD" w14:textId="369241E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699A08A9" w14:textId="0526B03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4D6CFA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0FE9EF46" w14:textId="57378F2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p>
          <w:p w14:paraId="1C8D1897" w14:textId="2D0D3C2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r w:rsidRPr="00F46E6B">
              <w:rPr>
                <w:rFonts w:ascii="Times New Roman" w:hAnsi="Times New Roman" w:cs="Times New Roman"/>
                <w:sz w:val="18"/>
                <w:szCs w:val="18"/>
              </w:rPr>
              <w:t xml:space="preserve"> </w:t>
            </w:r>
          </w:p>
          <w:p w14:paraId="6BF5094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32710FD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48D2C997" w14:textId="367A072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1DE576C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0709CD04" w14:textId="6BC46CC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Supported by an unrestricted grant from Endo Pharmaceuticals </w:t>
            </w:r>
          </w:p>
          <w:p w14:paraId="7F63E49A" w14:textId="43B685D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authors state no conflicts, searches show both had conflicts with pharma industry in 2008 including Purdue </w:t>
            </w:r>
          </w:p>
          <w:p w14:paraId="1E0AD272" w14:textId="5C35BC7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“The authors declare no financial conflicts with respect to this work”. </w:t>
            </w:r>
          </w:p>
          <w:p w14:paraId="2038178A" w14:textId="1E3FF05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12 members, no addiction experts</w:t>
            </w:r>
          </w:p>
          <w:p w14:paraId="22EBBE7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Both chairs are content experts</w:t>
            </w:r>
          </w:p>
          <w:p w14:paraId="48F75B1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 mentioned</w:t>
            </w:r>
          </w:p>
          <w:p w14:paraId="6418D176" w14:textId="72DBB68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Two non-physicians, no patients</w:t>
            </w:r>
          </w:p>
        </w:tc>
      </w:tr>
      <w:tr w:rsidR="00563E4F" w:rsidRPr="00F46E6B" w14:paraId="169BE130" w14:textId="77777777" w:rsidTr="00C5409F">
        <w:tc>
          <w:tcPr>
            <w:tcW w:w="1503" w:type="dxa"/>
          </w:tcPr>
          <w:p w14:paraId="0FA2D777" w14:textId="52FBF18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Institute for Clinical Systems Improvement (ICSI)</w:t>
            </w:r>
          </w:p>
        </w:tc>
        <w:tc>
          <w:tcPr>
            <w:tcW w:w="2376" w:type="dxa"/>
          </w:tcPr>
          <w:p w14:paraId="1B862015" w14:textId="77777777" w:rsidR="00563E4F" w:rsidRPr="00F46E6B" w:rsidRDefault="00563E4F" w:rsidP="00D40608">
            <w:pPr>
              <w:rPr>
                <w:rFonts w:ascii="Times New Roman" w:hAnsi="Times New Roman" w:cs="Times New Roman"/>
                <w:sz w:val="16"/>
                <w:szCs w:val="16"/>
              </w:rPr>
            </w:pPr>
            <w:r w:rsidRPr="00F46E6B">
              <w:rPr>
                <w:rFonts w:ascii="Times New Roman" w:hAnsi="Times New Roman" w:cs="Times New Roman"/>
                <w:sz w:val="16"/>
                <w:szCs w:val="16"/>
              </w:rPr>
              <w:t>Assessment and Management of Chronic Pain (2011)</w:t>
            </w:r>
          </w:p>
          <w:p w14:paraId="7C436DDF" w14:textId="30AAA7F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 xml:space="preserve">**via email because no longer available online </w:t>
            </w:r>
          </w:p>
        </w:tc>
        <w:tc>
          <w:tcPr>
            <w:tcW w:w="709" w:type="dxa"/>
          </w:tcPr>
          <w:p w14:paraId="59C8207D" w14:textId="002C723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drg1rl2ij","properties":{"formattedCitation":"[17]","plainCitation":"[17]","noteIndex":0},"citationItems":[{"id":11052,"uris":["http://zotero.org/users/1218045/items/X5IGA4ZZ"],"uri":["http://zotero.org/users/1218045/items/X5IGA4ZZ"],"itemData":{"id":11052,"type":"article","publisher":"Institute for Clinical Systems Improvement","title":"Assessment and Management of Chronic Pain. Bloomington, MN: Institute for Clinical Systems Improvement; 2011.","author":[{"family":"Institute for Clinical Systems Improvement.","given":""}],"issued":{"date-parts":[["2011"]]}}}],"schema":"https://github.com/citation-style-language/schema/raw/master/csl-citation.json"}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[17]</w:t>
            </w:r>
            <w:r w:rsidRPr="00F46E6B">
              <w:rPr>
                <w:rFonts w:ascii="Times New Roman" w:hAnsi="Times New Roman" w:cs="Times New Roman"/>
                <w:sz w:val="18"/>
                <w:szCs w:val="18"/>
              </w:rPr>
              <w:fldChar w:fldCharType="end"/>
            </w:r>
          </w:p>
        </w:tc>
        <w:tc>
          <w:tcPr>
            <w:tcW w:w="1306" w:type="dxa"/>
          </w:tcPr>
          <w:p w14:paraId="21BEE8D4" w14:textId="2813FA1F" w:rsidR="00563E4F" w:rsidRPr="00F46E6B" w:rsidRDefault="00563E4F" w:rsidP="00D40608">
            <w:pPr>
              <w:rPr>
                <w:rFonts w:ascii="Times New Roman" w:hAnsi="Times New Roman" w:cs="Times New Roman"/>
                <w:sz w:val="18"/>
                <w:szCs w:val="18"/>
              </w:rPr>
            </w:pPr>
          </w:p>
        </w:tc>
        <w:tc>
          <w:tcPr>
            <w:tcW w:w="3377" w:type="dxa"/>
          </w:tcPr>
          <w:p w14:paraId="632CCC44" w14:textId="0143D13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48A5447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073F609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2568796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3405953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553A5F6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3B6AFF5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0C1EBCB6" w14:textId="1E0E9D3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66FD7EDA" w14:textId="41258D1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58A25431" w14:textId="2C09524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25F864B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453D749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1AE74B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7CC12CC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19DEEDD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7DCC642D" w14:textId="1857F39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 flag </w:t>
            </w:r>
          </w:p>
        </w:tc>
        <w:tc>
          <w:tcPr>
            <w:tcW w:w="9900" w:type="dxa"/>
          </w:tcPr>
          <w:p w14:paraId="7D8A3269" w14:textId="3957495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but no private sponsorship, as per its own guidelines. No ph</w:t>
            </w:r>
            <w:r w:rsidR="00482C82">
              <w:rPr>
                <w:rFonts w:ascii="Times New Roman" w:hAnsi="Times New Roman" w:cs="Times New Roman"/>
                <w:sz w:val="18"/>
                <w:szCs w:val="18"/>
              </w:rPr>
              <w:t>arma funding found in searches</w:t>
            </w:r>
          </w:p>
          <w:p w14:paraId="39BCDB8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1D3FC8B4" w14:textId="702A136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none and none in searches </w:t>
            </w:r>
          </w:p>
          <w:p w14:paraId="33036D5E" w14:textId="1EEE835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Stated: 1 with pharma conflict- stock holdings and speakers bureau</w:t>
            </w:r>
          </w:p>
          <w:p w14:paraId="25879008" w14:textId="28BAD08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10 members, no addiction experts </w:t>
            </w:r>
          </w:p>
          <w:p w14:paraId="5CAD576D" w14:textId="7AA2524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Co-leads are content experts, ICSI staff do literature search/review</w:t>
            </w:r>
          </w:p>
          <w:p w14:paraId="00FFC63F" w14:textId="2C0BCCF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Sent for external review </w:t>
            </w:r>
          </w:p>
          <w:p w14:paraId="5A6E61ED" w14:textId="625D953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Have patient advisory group and non-physician members</w:t>
            </w:r>
          </w:p>
        </w:tc>
      </w:tr>
      <w:tr w:rsidR="00563E4F" w:rsidRPr="00F46E6B" w14:paraId="7B0912D7" w14:textId="77777777" w:rsidTr="00C5409F">
        <w:tc>
          <w:tcPr>
            <w:tcW w:w="1503" w:type="dxa"/>
          </w:tcPr>
          <w:p w14:paraId="24D5CA46" w14:textId="593C6C6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University of Michigan Health System (UMHS)</w:t>
            </w:r>
          </w:p>
        </w:tc>
        <w:tc>
          <w:tcPr>
            <w:tcW w:w="2376" w:type="dxa"/>
          </w:tcPr>
          <w:p w14:paraId="7091904C" w14:textId="77777777" w:rsidR="00563E4F" w:rsidRPr="00F46E6B" w:rsidRDefault="00563E4F" w:rsidP="00D40608">
            <w:pPr>
              <w:rPr>
                <w:rFonts w:ascii="Times New Roman" w:hAnsi="Times New Roman" w:cs="Times New Roman"/>
                <w:sz w:val="16"/>
                <w:szCs w:val="16"/>
              </w:rPr>
            </w:pPr>
            <w:r w:rsidRPr="00F46E6B">
              <w:rPr>
                <w:rFonts w:ascii="Times New Roman" w:hAnsi="Times New Roman" w:cs="Times New Roman"/>
                <w:sz w:val="16"/>
                <w:szCs w:val="16"/>
              </w:rPr>
              <w:t>Managing Chronic Non-Terminal Pain in Adults, Including Prescribing Controlled Substances (2012)</w:t>
            </w:r>
          </w:p>
          <w:p w14:paraId="4522D485" w14:textId="16B83C1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 via email because no longer available online</w:t>
            </w:r>
          </w:p>
        </w:tc>
        <w:tc>
          <w:tcPr>
            <w:tcW w:w="709" w:type="dxa"/>
          </w:tcPr>
          <w:p w14:paraId="1A279177" w14:textId="4E1EC8F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olte704jj","properties":{"formattedCitation":"[18]","plainCitation":"[18]","noteIndex":0},"citationItems":[{"id":11045,"uris":["http://zotero.org/users/1218045/items/5Q7TVMTA"],"uri":["http://zotero.org/users/1218045/items/5Q7TVMTA"],"itemData":{"id":11045,"type":"article","publisher":"University of Michigan","title":"Managing Chronic Non-Terminal Pain in Adults Including Prescribing Controlled Substances","author":[{"family":"University of Michigan","given":""}],"issued":{"date-parts":[["2009"]]}}}],"schema":"https://github.com/citation-style-language/schema/raw/master/csl-citation.json"}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[18]</w:t>
            </w:r>
            <w:r w:rsidRPr="00F46E6B">
              <w:rPr>
                <w:rFonts w:ascii="Times New Roman" w:hAnsi="Times New Roman" w:cs="Times New Roman"/>
                <w:sz w:val="18"/>
                <w:szCs w:val="18"/>
              </w:rPr>
              <w:fldChar w:fldCharType="end"/>
            </w:r>
          </w:p>
        </w:tc>
        <w:tc>
          <w:tcPr>
            <w:tcW w:w="1306" w:type="dxa"/>
          </w:tcPr>
          <w:p w14:paraId="3CBF4237" w14:textId="216F2C8A" w:rsidR="00563E4F" w:rsidRPr="00F46E6B" w:rsidRDefault="00563E4F" w:rsidP="00D40608">
            <w:pPr>
              <w:rPr>
                <w:rFonts w:ascii="Times New Roman" w:hAnsi="Times New Roman" w:cs="Times New Roman"/>
                <w:sz w:val="18"/>
                <w:szCs w:val="18"/>
              </w:rPr>
            </w:pPr>
          </w:p>
        </w:tc>
        <w:tc>
          <w:tcPr>
            <w:tcW w:w="3377" w:type="dxa"/>
          </w:tcPr>
          <w:p w14:paraId="726C29C3" w14:textId="7993F8D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3A8B20D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0676B8E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139F9078" w14:textId="7572BFF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6B76015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291D635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677884B9"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5FDD51C7" w14:textId="7F3ABC0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261FA614" w14:textId="7CA6C06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2430930D" w14:textId="34706BD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2733215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F92BDF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B8D92A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313F75C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6A95D87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28D5E5B1" w14:textId="119E152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035A12C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 pharma industry funding found in searches</w:t>
            </w:r>
          </w:p>
          <w:p w14:paraId="78CA54BE"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2576CE95" w14:textId="2F939F1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Stated no conflicts and none in searches</w:t>
            </w:r>
          </w:p>
          <w:p w14:paraId="59DFE82B" w14:textId="724073D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Stated: 1 with conflicts </w:t>
            </w:r>
          </w:p>
          <w:p w14:paraId="7DDAA2BE" w14:textId="7F2EAEC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9 members, no addiction experts</w:t>
            </w:r>
          </w:p>
          <w:p w14:paraId="47A24D28" w14:textId="35492FF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Leads are content experts, used literature review from VA in 1998/2002</w:t>
            </w:r>
          </w:p>
          <w:p w14:paraId="46D8107A"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w:t>
            </w:r>
          </w:p>
          <w:p w14:paraId="0AE56C2D" w14:textId="4270220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Non-physicians, no patients</w:t>
            </w:r>
          </w:p>
        </w:tc>
      </w:tr>
      <w:tr w:rsidR="00563E4F" w:rsidRPr="00F46E6B" w14:paraId="29E6F9A6" w14:textId="77777777" w:rsidTr="00C5409F">
        <w:tc>
          <w:tcPr>
            <w:tcW w:w="1503" w:type="dxa"/>
          </w:tcPr>
          <w:p w14:paraId="67D269F7" w14:textId="0521F3C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Utah Department of Health (UDOH)</w:t>
            </w:r>
          </w:p>
        </w:tc>
        <w:tc>
          <w:tcPr>
            <w:tcW w:w="2376" w:type="dxa"/>
          </w:tcPr>
          <w:p w14:paraId="040C8C9B" w14:textId="2030C9B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Utah Clinical Guidelines on Prescribing Opioids for Treatment of Pain (2009)</w:t>
            </w:r>
          </w:p>
        </w:tc>
        <w:tc>
          <w:tcPr>
            <w:tcW w:w="709" w:type="dxa"/>
          </w:tcPr>
          <w:p w14:paraId="44951EFE" w14:textId="4F903E9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20a4v92qag","properties":{"formattedCitation":"[19,20]","plainCitation":"[19,20]","noteIndex":0},"citationItems":[{"id":11051,"uris":["http://zotero.org/users/1218045/items/UMMCB63A"],"uri":["http://zotero.org/users/1218045/items/UMMCB63A"],"itemData":{"id":11051,"type":"article","publisher":"Utah Department of Health","title":"Utah Clinical Guidelines on Prescribing Opioids for Treatment of Pain","author":[{"family":"Utah Department of Health","given":""}],"issued":{"date-parts":[["2009"]]}}},{"id":11054,"uris":["http://zotero.org/users/1218045/items/HNP7EW6V"],"uri":["http://zotero.org/users/1218045/items/HNP7EW6V"],"itemData":{"id":11054,"type":"article-journal","abstract":"Utah Clinical Guidelines on Prescribing Opioids for Treatment of Pain were produced and made available to medical providers in March 2009. These guidelines were developed by a multidisciplinary consensus panel after a review of existing evidence-based guidelines. Common recommendations were compiled and presented to the panel for review. The guidelines consist of a set of recommendations for both acute and chronic pain. A second panel reviewed existing tools for providers and determined the need for any new tools. The final guidelines include 20 tools for providers to use in their practice. The complete version of the guidelines and the accompanying tools are available at: www.useonlyasdirected.org or www.health.utah.gov/prescription.","container-title":"Journal of Pain &amp; Palliative Care Pharmacotherapy","DOI":"10.3109/15360288.2010.503265","ISSN":"1536-0539","issue":"3","journalAbbreviation":"J Pain Palliat Care Pharmacother","language":"eng","note":"PMID: 20718642","page":"219-235","source":"PubMed","title":"Utah clinical guidelines on prescribing opioids for treatment of pain","volume":"24","author":[{"family":"Rolfs","given":"Robert T."},{"family":"Johnson","given":"Erin"},{"family":"Williams","given":"Nancy J."},{"family":"Sundwall","given":"David N."},{"literal":"Utah Department of Health"}],"issued":{"date-parts":[["2010",9]]}}}],"schema":"https://github.com/citation-style-language/schema/raw/master/csl-citation.json"}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[19,20]</w:t>
            </w:r>
            <w:r w:rsidRPr="00F46E6B">
              <w:rPr>
                <w:rFonts w:ascii="Times New Roman" w:hAnsi="Times New Roman" w:cs="Times New Roman"/>
                <w:sz w:val="18"/>
                <w:szCs w:val="18"/>
              </w:rPr>
              <w:fldChar w:fldCharType="end"/>
            </w:r>
          </w:p>
        </w:tc>
        <w:tc>
          <w:tcPr>
            <w:tcW w:w="1306" w:type="dxa"/>
          </w:tcPr>
          <w:p w14:paraId="3C75E719" w14:textId="410C633A" w:rsidR="00563E4F" w:rsidRPr="00F46E6B" w:rsidRDefault="00563E4F" w:rsidP="00D40608">
            <w:pPr>
              <w:rPr>
                <w:rFonts w:ascii="Times New Roman" w:hAnsi="Times New Roman" w:cs="Times New Roman"/>
                <w:sz w:val="18"/>
                <w:szCs w:val="18"/>
              </w:rPr>
            </w:pPr>
          </w:p>
        </w:tc>
        <w:tc>
          <w:tcPr>
            <w:tcW w:w="3377" w:type="dxa"/>
          </w:tcPr>
          <w:p w14:paraId="17CFA3F0" w14:textId="28CC30B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13D0F73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52A9E32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5A7D5DD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1686AE5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47DA3AC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1A0CFC7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6AC83B33" w14:textId="08B369F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7A8AA823" w14:textId="57E6CD6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4C62091C" w14:textId="6567D77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34612EA4"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F47210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36CA95A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4DD1E6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1E37E3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24AD8EBF" w14:textId="0F6D5A4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78072AF5" w14:textId="476B1A4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None found in searches</w:t>
            </w:r>
          </w:p>
          <w:p w14:paraId="4607FB6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3B43942D" w14:textId="2281D09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Stated: no conflicts stated, and none found with searches</w:t>
            </w:r>
          </w:p>
          <w:p w14:paraId="2A985751" w14:textId="082DD16F"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Stated: one panelist has many conflicts with pharma</w:t>
            </w:r>
          </w:p>
          <w:p w14:paraId="315A9784" w14:textId="3CF33BA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12 members, 2/12 are addiction experts (17%)</w:t>
            </w:r>
          </w:p>
          <w:p w14:paraId="185C2B5C" w14:textId="2D48A63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Chair is methodologist</w:t>
            </w:r>
          </w:p>
          <w:p w14:paraId="4EA3469E"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Sent for external review </w:t>
            </w:r>
          </w:p>
          <w:p w14:paraId="5813DB7C" w14:textId="0C7B0FA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Five non-physicians, no patients</w:t>
            </w:r>
          </w:p>
        </w:tc>
      </w:tr>
      <w:tr w:rsidR="00563E4F" w:rsidRPr="00F46E6B" w14:paraId="3259C0E8" w14:textId="77777777" w:rsidTr="00C5409F">
        <w:tc>
          <w:tcPr>
            <w:tcW w:w="1503" w:type="dxa"/>
          </w:tcPr>
          <w:p w14:paraId="44F04BD8" w14:textId="1C359251"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Veterans Affairs and Department of Defense (VA/ DoD)</w:t>
            </w:r>
          </w:p>
        </w:tc>
        <w:tc>
          <w:tcPr>
            <w:tcW w:w="2376" w:type="dxa"/>
          </w:tcPr>
          <w:p w14:paraId="13CB9A18" w14:textId="1AB9070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Clinical Practice Guideline for Management of Opioid Therapy for Chronic Pain (2010)</w:t>
            </w:r>
          </w:p>
        </w:tc>
        <w:tc>
          <w:tcPr>
            <w:tcW w:w="709" w:type="dxa"/>
          </w:tcPr>
          <w:p w14:paraId="32FD8399" w14:textId="2D6194F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2df70j7ara","properties":{"formattedCitation":"[21]","plainCitation":"[21]","noteIndex":0},"citationItems":[{"id":11039,"uris":["http://zotero.org/users/1218045/items/WE8W2P8P"],"uri":["http://zotero.org/users/1218045/items/WE8W2P8P"],"itemData":{"id":11039,"type":"article","publisher":"Department of Defense","title":"Clinical Practice Guideline for Management of Opioid Therapy for Chronic Pain","URL":"http://www.healthquality.va.gov/guidelines/Pain/cot/COT_312_Full-er.pdf","author":[{"family":"Department of Veterans Affairs, Department of Defense","given":""}],"accessed":{"date-parts":[["2016",6,27]]},"issued":{"date-parts":[["2010"]]}}}],"schema":"https://github.com/citation-style-language/schema/raw/master/csl-citation.json"}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[21]</w:t>
            </w:r>
            <w:r w:rsidRPr="00F46E6B">
              <w:rPr>
                <w:rFonts w:ascii="Times New Roman" w:hAnsi="Times New Roman" w:cs="Times New Roman"/>
                <w:sz w:val="18"/>
                <w:szCs w:val="18"/>
              </w:rPr>
              <w:fldChar w:fldCharType="end"/>
            </w:r>
          </w:p>
        </w:tc>
        <w:tc>
          <w:tcPr>
            <w:tcW w:w="1306" w:type="dxa"/>
          </w:tcPr>
          <w:p w14:paraId="3BAB3E29" w14:textId="77777777" w:rsidR="00563E4F" w:rsidRPr="00F46E6B" w:rsidRDefault="00563E4F" w:rsidP="00FA44F4">
            <w:pPr>
              <w:pStyle w:val="ListParagraph"/>
              <w:spacing w:after="60"/>
              <w:ind w:left="-108" w:hanging="4"/>
              <w:rPr>
                <w:rFonts w:ascii="Times New Roman" w:hAnsi="Times New Roman" w:cs="Times New Roman"/>
                <w:sz w:val="18"/>
                <w:szCs w:val="18"/>
              </w:rPr>
            </w:pPr>
            <w:r w:rsidRPr="00F46E6B">
              <w:rPr>
                <w:rFonts w:ascii="Times New Roman" w:hAnsi="Times New Roman" w:cs="Times New Roman"/>
                <w:sz w:val="18"/>
                <w:szCs w:val="18"/>
              </w:rPr>
              <w:t>Email communication</w:t>
            </w:r>
          </w:p>
          <w:p w14:paraId="570CD2DC" w14:textId="61308D13" w:rsidR="00563E4F" w:rsidRPr="00F46E6B" w:rsidRDefault="00563E4F" w:rsidP="00FA44F4">
            <w:pPr>
              <w:ind w:left="-108" w:hanging="4"/>
              <w:rPr>
                <w:rFonts w:ascii="Times New Roman" w:hAnsi="Times New Roman" w:cs="Times New Roman"/>
                <w:sz w:val="18"/>
                <w:szCs w:val="18"/>
              </w:rPr>
            </w:pPr>
            <w:r w:rsidRPr="00F46E6B">
              <w:rPr>
                <w:rFonts w:ascii="Times New Roman" w:hAnsi="Times New Roman" w:cs="Times New Roman"/>
                <w:sz w:val="18"/>
                <w:szCs w:val="18"/>
              </w:rPr>
              <w:t xml:space="preserve">Supplementary materials </w:t>
            </w: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1k5lr5ru2j","properties":{"formattedCitation":"[22]","plainCitation":"[22]","noteIndex":0},"citationItems":[{"id":11568,"uris":["http://zotero.org/users/1218045/items/8KD2FEWX"],"uri":["http://zotero.org/users/1218045/items/8KD2FEWX"],"itemData":{"id":11568,"type":"article","title":"Guidelines for guidelines","author":[{"family":"Department of Veteran Affairs and Department of Defense","given":""}],"issued":{"date-parts":[["2013"]]}}}],"schema":"https://github.com/citation-style-language/schema/raw/master/csl-citation.json"}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[22]</w:t>
            </w:r>
            <w:r w:rsidRPr="00F46E6B">
              <w:rPr>
                <w:rFonts w:ascii="Times New Roman" w:hAnsi="Times New Roman" w:cs="Times New Roman"/>
                <w:sz w:val="18"/>
                <w:szCs w:val="18"/>
              </w:rPr>
              <w:fldChar w:fldCharType="end"/>
            </w:r>
          </w:p>
        </w:tc>
        <w:tc>
          <w:tcPr>
            <w:tcW w:w="3377" w:type="dxa"/>
          </w:tcPr>
          <w:p w14:paraId="37630777" w14:textId="7B8FCF3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6D2227D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526015A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4B2AEBA6" w14:textId="0262E76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489F2C8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1D7CF09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5D27BD9B"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2D5C1195" w14:textId="3CC39C1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3E8B7FC1" w14:textId="5BC1634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250A17A6" w14:textId="64DC3E6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08B0F4F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07B195A0" w14:textId="6FC956A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Uncertain</w:t>
            </w:r>
            <w:r w:rsidR="00323FDE" w:rsidRPr="00F46E6B">
              <w:rPr>
                <w:rFonts w:ascii="Times New Roman" w:hAnsi="Times New Roman" w:cs="Times New Roman"/>
                <w:sz w:val="18"/>
                <w:szCs w:val="18"/>
              </w:rPr>
              <w:t>*</w:t>
            </w:r>
          </w:p>
          <w:p w14:paraId="42C5C6F5"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386E88CF"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038344F2"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7C269011" w14:textId="5DF89FED"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3DE70CEA" w14:textId="0E6DE436"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Has pharma indus</w:t>
            </w:r>
            <w:r w:rsidR="00482C82">
              <w:rPr>
                <w:rFonts w:ascii="Times New Roman" w:hAnsi="Times New Roman" w:cs="Times New Roman"/>
                <w:sz w:val="18"/>
                <w:szCs w:val="18"/>
              </w:rPr>
              <w:t>try sponsors found in searches</w:t>
            </w:r>
          </w:p>
          <w:p w14:paraId="63E75096"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3C0B73B1" w14:textId="602E4DB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Searches: one chair on national board directors 2009 for APF (90% pharma-funded including Purdue) </w:t>
            </w:r>
          </w:p>
          <w:p w14:paraId="1E62280B" w14:textId="577C12EC"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email response- no relevant conflicts but no additional information provided </w:t>
            </w:r>
          </w:p>
          <w:p w14:paraId="36A6E033" w14:textId="5A43E376" w:rsidR="00563E4F" w:rsidRPr="00F46E6B" w:rsidRDefault="00563E4F" w:rsidP="00D40608">
            <w:pPr>
              <w:rPr>
                <w:rFonts w:ascii="Times New Roman" w:eastAsia="Times New Roman" w:hAnsi="Times New Roman" w:cs="Times New Roman"/>
                <w:sz w:val="18"/>
                <w:szCs w:val="18"/>
                <w:lang w:val="en-CA"/>
              </w:rPr>
            </w:pPr>
            <w:r w:rsidRPr="00F46E6B">
              <w:rPr>
                <w:rFonts w:ascii="Times New Roman" w:eastAsia="Times New Roman" w:hAnsi="Times New Roman" w:cs="Times New Roman"/>
                <w:sz w:val="18"/>
                <w:szCs w:val="18"/>
                <w:lang w:val="en-CA"/>
              </w:rPr>
              <w:t>20 members, 2 addiction specialists (2/20) (10%)</w:t>
            </w:r>
          </w:p>
          <w:p w14:paraId="3AF3D2D4" w14:textId="76AA87A3"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Have oversight methodology committee </w:t>
            </w:r>
          </w:p>
          <w:p w14:paraId="36EBE1BD" w14:textId="6684204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Sent for external review according to supplementary material </w:t>
            </w:r>
          </w:p>
          <w:p w14:paraId="580AFE6B" w14:textId="46161C5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Two non-physicians, no patients</w:t>
            </w:r>
          </w:p>
        </w:tc>
      </w:tr>
      <w:tr w:rsidR="00563E4F" w:rsidRPr="00F46E6B" w14:paraId="3C5567C6" w14:textId="77777777" w:rsidTr="00C5409F">
        <w:tc>
          <w:tcPr>
            <w:tcW w:w="1503" w:type="dxa"/>
          </w:tcPr>
          <w:p w14:paraId="3AB13937" w14:textId="1D68BAB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lastRenderedPageBreak/>
              <w:t>Work Loss Data Institute (WLDI)</w:t>
            </w:r>
          </w:p>
        </w:tc>
        <w:tc>
          <w:tcPr>
            <w:tcW w:w="2376" w:type="dxa"/>
          </w:tcPr>
          <w:p w14:paraId="35BB4B93" w14:textId="3A67ACF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6"/>
                <w:szCs w:val="16"/>
              </w:rPr>
              <w:t>Pain (Chronic) (2011)</w:t>
            </w:r>
          </w:p>
        </w:tc>
        <w:tc>
          <w:tcPr>
            <w:tcW w:w="709" w:type="dxa"/>
          </w:tcPr>
          <w:p w14:paraId="5271E5DD" w14:textId="5C145AF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fldChar w:fldCharType="begin"/>
            </w:r>
            <w:r w:rsidR="00F6623C">
              <w:rPr>
                <w:rFonts w:ascii="Times New Roman" w:hAnsi="Times New Roman" w:cs="Times New Roman"/>
                <w:sz w:val="18"/>
                <w:szCs w:val="18"/>
              </w:rPr>
              <w:instrText xml:space="preserve"> ADDIN ZOTERO_ITEM CSL_CITATION {"citationID":"ad4ve9alm6","properties":{"formattedCitation":"[23]","plainCitation":"[23]","noteIndex":0},"citationItems":[{"id":11049,"uris":["http://zotero.org/users/1218045/items/GSHJ5BTH"],"uri":["http://zotero.org/users/1218045/items/GSHJ5BTH"],"itemData":{"id":11049,"type":"article","publisher":"Work Loss Data Institute","title":"Pain (chronic)","author":[{"family":"Work Loss Data Institute","given":""}],"issued":{"date-parts":[["2011"]]}}}],"schema":"https://github.com/citation-style-language/schema/raw/master/csl-citation.json"} </w:instrText>
            </w:r>
            <w:r w:rsidRPr="00F46E6B">
              <w:rPr>
                <w:rFonts w:ascii="Times New Roman" w:hAnsi="Times New Roman" w:cs="Times New Roman"/>
                <w:sz w:val="18"/>
                <w:szCs w:val="18"/>
              </w:rPr>
              <w:fldChar w:fldCharType="separate"/>
            </w:r>
            <w:r w:rsidR="00F6623C" w:rsidRPr="00F6623C">
              <w:rPr>
                <w:rFonts w:ascii="Times New Roman" w:hAnsi="Times New Roman" w:cs="Times New Roman"/>
                <w:sz w:val="18"/>
              </w:rPr>
              <w:t>[23]</w:t>
            </w:r>
            <w:r w:rsidRPr="00F46E6B">
              <w:rPr>
                <w:rFonts w:ascii="Times New Roman" w:hAnsi="Times New Roman" w:cs="Times New Roman"/>
                <w:sz w:val="18"/>
                <w:szCs w:val="18"/>
              </w:rPr>
              <w:fldChar w:fldCharType="end"/>
            </w:r>
          </w:p>
        </w:tc>
        <w:tc>
          <w:tcPr>
            <w:tcW w:w="1306" w:type="dxa"/>
          </w:tcPr>
          <w:p w14:paraId="113E9CCA" w14:textId="1C8AC869" w:rsidR="00563E4F" w:rsidRPr="00F46E6B" w:rsidRDefault="00563E4F" w:rsidP="00FA44F4">
            <w:pPr>
              <w:ind w:left="-108" w:hanging="4"/>
              <w:rPr>
                <w:rFonts w:ascii="Times New Roman" w:hAnsi="Times New Roman" w:cs="Times New Roman"/>
                <w:sz w:val="18"/>
                <w:szCs w:val="18"/>
              </w:rPr>
            </w:pPr>
            <w:r w:rsidRPr="00F46E6B">
              <w:rPr>
                <w:rFonts w:ascii="Times New Roman" w:hAnsi="Times New Roman" w:cs="Times New Roman"/>
                <w:sz w:val="18"/>
                <w:szCs w:val="18"/>
              </w:rPr>
              <w:t xml:space="preserve">Email communication </w:t>
            </w:r>
          </w:p>
        </w:tc>
        <w:tc>
          <w:tcPr>
            <w:tcW w:w="3377" w:type="dxa"/>
          </w:tcPr>
          <w:p w14:paraId="4C4FC020" w14:textId="2B4500DB"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Sponsor is conflicted: </w:t>
            </w:r>
          </w:p>
          <w:p w14:paraId="2A8A732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Industry/unknown sponsor:</w:t>
            </w:r>
          </w:p>
          <w:p w14:paraId="1C71603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chair conflicted</w:t>
            </w:r>
          </w:p>
          <w:p w14:paraId="4485C44C"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Multiple panelists conflicted</w:t>
            </w:r>
          </w:p>
          <w:p w14:paraId="5AC8840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Committee stacking</w:t>
            </w:r>
          </w:p>
          <w:p w14:paraId="597DFA60"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Limited methodologist</w:t>
            </w:r>
          </w:p>
          <w:p w14:paraId="50FB1C0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external review</w:t>
            </w:r>
          </w:p>
          <w:p w14:paraId="72026A58" w14:textId="0A7431F4"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non-physicians or patients</w:t>
            </w:r>
          </w:p>
        </w:tc>
        <w:tc>
          <w:tcPr>
            <w:tcW w:w="1530" w:type="dxa"/>
          </w:tcPr>
          <w:p w14:paraId="2022A91F" w14:textId="70525100"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20FA6291" w14:textId="6886136E"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6CBEC587"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6DACBFE1"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74A140D"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0FEFED33"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p w14:paraId="026B7308" w14:textId="77777777"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flag</w:t>
            </w:r>
          </w:p>
          <w:p w14:paraId="1DE18C70" w14:textId="6F28A18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Red flag</w:t>
            </w:r>
          </w:p>
        </w:tc>
        <w:tc>
          <w:tcPr>
            <w:tcW w:w="9900" w:type="dxa"/>
          </w:tcPr>
          <w:p w14:paraId="4CF9736B" w14:textId="1AA6BE85"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Not stated. No pharm</w:t>
            </w:r>
            <w:r w:rsidR="00482C82">
              <w:rPr>
                <w:rFonts w:ascii="Times New Roman" w:hAnsi="Times New Roman" w:cs="Times New Roman"/>
                <w:sz w:val="18"/>
                <w:szCs w:val="18"/>
              </w:rPr>
              <w:t>a industry sponsors in searches</w:t>
            </w:r>
          </w:p>
          <w:p w14:paraId="36C1FEC5" w14:textId="4B57941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N/A</w:t>
            </w:r>
          </w:p>
          <w:p w14:paraId="124966A2" w14:textId="17E20919"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w:t>
            </w:r>
            <w:r w:rsidRPr="00F46E6B">
              <w:rPr>
                <w:rFonts w:ascii="Times New Roman" w:eastAsia="Times New Roman" w:hAnsi="Times New Roman" w:cs="Times New Roman"/>
                <w:sz w:val="18"/>
                <w:szCs w:val="18"/>
              </w:rPr>
              <w:t>From email: no conflicts. Nothing in searches</w:t>
            </w:r>
          </w:p>
          <w:p w14:paraId="24F306FB" w14:textId="3A796B3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 xml:space="preserve">Not stated: Emailed me list of participants, no pharma COI </w:t>
            </w:r>
          </w:p>
          <w:p w14:paraId="1A5F9285" w14:textId="08AAEEB8"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17 members, no addiction experts</w:t>
            </w:r>
          </w:p>
          <w:p w14:paraId="5F84A8CB" w14:textId="3F42D5B2"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rPr>
              <w:t>No lead or oversight by methodologist</w:t>
            </w:r>
          </w:p>
          <w:p w14:paraId="7F4C6196" w14:textId="0ABA0884" w:rsidR="00563E4F" w:rsidRPr="00F46E6B" w:rsidRDefault="00563E4F" w:rsidP="00D40608">
            <w:pPr>
              <w:rPr>
                <w:rFonts w:ascii="Times New Roman" w:hAnsi="Times New Roman" w:cs="Times New Roman"/>
                <w:sz w:val="18"/>
                <w:szCs w:val="18"/>
                <w:lang w:val="en-CA"/>
              </w:rPr>
            </w:pPr>
            <w:r w:rsidRPr="00F46E6B">
              <w:rPr>
                <w:rFonts w:ascii="Times New Roman" w:hAnsi="Times New Roman" w:cs="Times New Roman"/>
                <w:sz w:val="18"/>
                <w:szCs w:val="18"/>
                <w:lang w:val="en-CA"/>
              </w:rPr>
              <w:t>Yes, sent for external review</w:t>
            </w:r>
          </w:p>
          <w:p w14:paraId="7D42CC55" w14:textId="1810399A" w:rsidR="00563E4F" w:rsidRPr="00F46E6B" w:rsidRDefault="00563E4F" w:rsidP="00D40608">
            <w:pPr>
              <w:rPr>
                <w:rFonts w:ascii="Times New Roman" w:hAnsi="Times New Roman" w:cs="Times New Roman"/>
                <w:sz w:val="18"/>
                <w:szCs w:val="18"/>
              </w:rPr>
            </w:pPr>
            <w:r w:rsidRPr="00F46E6B">
              <w:rPr>
                <w:rFonts w:ascii="Times New Roman" w:hAnsi="Times New Roman" w:cs="Times New Roman"/>
                <w:sz w:val="18"/>
                <w:szCs w:val="18"/>
                <w:lang w:val="en-CA"/>
              </w:rPr>
              <w:t>Non physicians, but no patients</w:t>
            </w:r>
          </w:p>
        </w:tc>
      </w:tr>
      <w:tr w:rsidR="00563E4F" w:rsidRPr="00CA07C4" w14:paraId="57EFC62F" w14:textId="77777777" w:rsidTr="00C5409F">
        <w:tc>
          <w:tcPr>
            <w:tcW w:w="1503" w:type="dxa"/>
          </w:tcPr>
          <w:p w14:paraId="67FC3F3E" w14:textId="659C8BEF" w:rsidR="00563E4F" w:rsidRPr="00CA07C4" w:rsidRDefault="00563E4F" w:rsidP="00D40608">
            <w:pPr>
              <w:rPr>
                <w:rFonts w:ascii="Times New Roman" w:hAnsi="Times New Roman" w:cs="Times New Roman"/>
                <w:sz w:val="18"/>
                <w:szCs w:val="18"/>
              </w:rPr>
            </w:pPr>
          </w:p>
        </w:tc>
        <w:tc>
          <w:tcPr>
            <w:tcW w:w="2376" w:type="dxa"/>
          </w:tcPr>
          <w:p w14:paraId="09D6A192" w14:textId="77777777" w:rsidR="00563E4F" w:rsidRPr="00CA07C4" w:rsidRDefault="00563E4F" w:rsidP="00D40608">
            <w:pPr>
              <w:rPr>
                <w:rFonts w:ascii="Times New Roman" w:hAnsi="Times New Roman" w:cs="Times New Roman"/>
                <w:sz w:val="18"/>
                <w:szCs w:val="18"/>
              </w:rPr>
            </w:pPr>
          </w:p>
        </w:tc>
        <w:tc>
          <w:tcPr>
            <w:tcW w:w="709" w:type="dxa"/>
          </w:tcPr>
          <w:p w14:paraId="35B71AAA" w14:textId="05B4F2E3" w:rsidR="00563E4F" w:rsidRPr="00CA07C4" w:rsidRDefault="00563E4F" w:rsidP="00D40608">
            <w:pPr>
              <w:rPr>
                <w:rFonts w:ascii="Times New Roman" w:hAnsi="Times New Roman" w:cs="Times New Roman"/>
                <w:sz w:val="18"/>
                <w:szCs w:val="18"/>
              </w:rPr>
            </w:pPr>
          </w:p>
        </w:tc>
        <w:tc>
          <w:tcPr>
            <w:tcW w:w="1306" w:type="dxa"/>
          </w:tcPr>
          <w:p w14:paraId="0EB03A05" w14:textId="77777777" w:rsidR="00563E4F" w:rsidRPr="00CA07C4" w:rsidRDefault="00563E4F" w:rsidP="00D40608">
            <w:pPr>
              <w:rPr>
                <w:rFonts w:ascii="Times New Roman" w:hAnsi="Times New Roman" w:cs="Times New Roman"/>
                <w:sz w:val="18"/>
                <w:szCs w:val="18"/>
              </w:rPr>
            </w:pPr>
          </w:p>
        </w:tc>
        <w:tc>
          <w:tcPr>
            <w:tcW w:w="3377" w:type="dxa"/>
          </w:tcPr>
          <w:p w14:paraId="19C58A47" w14:textId="2C3F2D0E" w:rsidR="00563E4F" w:rsidRPr="00CA07C4" w:rsidRDefault="00563E4F" w:rsidP="00D40608">
            <w:pPr>
              <w:rPr>
                <w:rFonts w:ascii="Times New Roman" w:hAnsi="Times New Roman" w:cs="Times New Roman"/>
                <w:sz w:val="18"/>
                <w:szCs w:val="18"/>
              </w:rPr>
            </w:pPr>
          </w:p>
        </w:tc>
        <w:tc>
          <w:tcPr>
            <w:tcW w:w="1530" w:type="dxa"/>
          </w:tcPr>
          <w:p w14:paraId="7AAC6D86" w14:textId="77777777" w:rsidR="00563E4F" w:rsidRPr="00CA07C4" w:rsidRDefault="00563E4F" w:rsidP="00D40608">
            <w:pPr>
              <w:rPr>
                <w:rFonts w:ascii="Times New Roman" w:hAnsi="Times New Roman" w:cs="Times New Roman"/>
                <w:sz w:val="18"/>
                <w:szCs w:val="18"/>
              </w:rPr>
            </w:pPr>
          </w:p>
        </w:tc>
        <w:tc>
          <w:tcPr>
            <w:tcW w:w="9900" w:type="dxa"/>
          </w:tcPr>
          <w:p w14:paraId="201ED37D" w14:textId="77777777" w:rsidR="00563E4F" w:rsidRPr="00CA07C4" w:rsidRDefault="00563E4F" w:rsidP="00D40608">
            <w:pPr>
              <w:rPr>
                <w:rFonts w:ascii="Times New Roman" w:hAnsi="Times New Roman" w:cs="Times New Roman"/>
                <w:sz w:val="18"/>
                <w:szCs w:val="18"/>
              </w:rPr>
            </w:pPr>
          </w:p>
        </w:tc>
      </w:tr>
    </w:tbl>
    <w:p w14:paraId="40635FDC" w14:textId="63748C86" w:rsidR="00571F3C" w:rsidRDefault="00571F3C" w:rsidP="00571F3C">
      <w:pPr>
        <w:rPr>
          <w:rFonts w:ascii="Times New Roman" w:hAnsi="Times New Roman" w:cs="Times New Roman"/>
          <w:sz w:val="18"/>
          <w:szCs w:val="18"/>
        </w:rPr>
      </w:pPr>
    </w:p>
    <w:p w14:paraId="093FCAE6" w14:textId="7FDD66A5" w:rsidR="006F2061" w:rsidRDefault="00AA32E6" w:rsidP="00AA32E6">
      <w:pPr>
        <w:rPr>
          <w:rFonts w:ascii="Times New Roman" w:hAnsi="Times New Roman" w:cs="Times New Roman"/>
          <w:sz w:val="18"/>
          <w:szCs w:val="18"/>
        </w:rPr>
      </w:pPr>
      <w:r>
        <w:rPr>
          <w:rFonts w:ascii="Times New Roman" w:hAnsi="Times New Roman" w:cs="Times New Roman"/>
          <w:sz w:val="18"/>
          <w:szCs w:val="18"/>
        </w:rPr>
        <w:t xml:space="preserve">APF = American Pain Foundation, ASRA= </w:t>
      </w:r>
      <w:r w:rsidRPr="00AA32E6">
        <w:rPr>
          <w:rFonts w:ascii="Times New Roman" w:hAnsi="Times New Roman" w:cs="Times New Roman"/>
          <w:sz w:val="18"/>
          <w:szCs w:val="18"/>
        </w:rPr>
        <w:t>American Society of Regional Anesthesia and Pain Medicine</w:t>
      </w:r>
      <w:r>
        <w:rPr>
          <w:rFonts w:ascii="Times New Roman" w:hAnsi="Times New Roman" w:cs="Times New Roman"/>
          <w:sz w:val="18"/>
          <w:szCs w:val="18"/>
        </w:rPr>
        <w:t>, COI = conflict of interest, N/A = not applicable, pharma = pharmaceutical company</w:t>
      </w:r>
    </w:p>
    <w:p w14:paraId="5A35A910" w14:textId="3CE1E17A" w:rsidR="006F2061" w:rsidRDefault="006F2061" w:rsidP="006F2061">
      <w:r>
        <w:t>*</w:t>
      </w:r>
      <w:r w:rsidRPr="008B075A">
        <w:rPr>
          <w:sz w:val="18"/>
          <w:szCs w:val="18"/>
        </w:rPr>
        <w:t xml:space="preserve"> Element that could not be confidently appraised with available information </w:t>
      </w:r>
    </w:p>
    <w:p w14:paraId="08B3406A" w14:textId="6121B143" w:rsidR="006F2061" w:rsidRDefault="006F2061" w:rsidP="00571F3C">
      <w:pPr>
        <w:rPr>
          <w:rFonts w:ascii="Times New Roman" w:hAnsi="Times New Roman" w:cs="Times New Roman"/>
          <w:sz w:val="18"/>
          <w:szCs w:val="18"/>
        </w:rPr>
      </w:pPr>
    </w:p>
    <w:p w14:paraId="649A49C1" w14:textId="1A82FDE8" w:rsidR="006F2061" w:rsidRDefault="006F2061" w:rsidP="00571F3C">
      <w:pPr>
        <w:rPr>
          <w:rFonts w:ascii="Times New Roman" w:hAnsi="Times New Roman" w:cs="Times New Roman"/>
          <w:sz w:val="18"/>
          <w:szCs w:val="18"/>
        </w:rPr>
      </w:pPr>
    </w:p>
    <w:p w14:paraId="2E536867" w14:textId="3FB8A34E" w:rsidR="006F2061" w:rsidRPr="00870E72" w:rsidRDefault="00870E72" w:rsidP="00571F3C">
      <w:pPr>
        <w:rPr>
          <w:rFonts w:ascii="Times New Roman" w:hAnsi="Times New Roman" w:cs="Times New Roman"/>
          <w:b/>
          <w:sz w:val="28"/>
          <w:szCs w:val="28"/>
        </w:rPr>
      </w:pPr>
      <w:r w:rsidRPr="00870E72">
        <w:rPr>
          <w:rFonts w:ascii="Times New Roman" w:hAnsi="Times New Roman" w:cs="Times New Roman"/>
          <w:b/>
          <w:sz w:val="28"/>
          <w:szCs w:val="28"/>
        </w:rPr>
        <w:t>References</w:t>
      </w:r>
    </w:p>
    <w:p w14:paraId="295DB99C" w14:textId="77777777" w:rsidR="00870E72" w:rsidRPr="00870E72" w:rsidRDefault="00870E72" w:rsidP="00571F3C">
      <w:pPr>
        <w:rPr>
          <w:rFonts w:ascii="Times New Roman" w:hAnsi="Times New Roman" w:cs="Times New Roman"/>
          <w:sz w:val="28"/>
          <w:szCs w:val="28"/>
        </w:rPr>
      </w:pPr>
    </w:p>
    <w:p w14:paraId="1734F260" w14:textId="77777777" w:rsidR="00F6623C" w:rsidRPr="00F6623C" w:rsidRDefault="00CA07C4" w:rsidP="00F6623C">
      <w:pPr>
        <w:pStyle w:val="Bibliography"/>
        <w:rPr>
          <w:rFonts w:ascii="Times New Roman" w:hAnsi="Times New Roman" w:cs="Times New Roman"/>
          <w:sz w:val="18"/>
        </w:rPr>
      </w:pPr>
      <w:r>
        <w:rPr>
          <w:sz w:val="18"/>
          <w:szCs w:val="18"/>
        </w:rPr>
        <w:fldChar w:fldCharType="begin"/>
      </w:r>
      <w:r w:rsidR="00F6623C">
        <w:rPr>
          <w:sz w:val="18"/>
          <w:szCs w:val="18"/>
        </w:rPr>
        <w:instrText xml:space="preserve"> ADDIN ZOTERO_BIBL {"uncited":[],"omitted":[],"custom":[]} CSL_BIBLIOGRAPHY </w:instrText>
      </w:r>
      <w:r>
        <w:rPr>
          <w:sz w:val="18"/>
          <w:szCs w:val="18"/>
        </w:rPr>
        <w:fldChar w:fldCharType="separate"/>
      </w:r>
      <w:r w:rsidR="00F6623C" w:rsidRPr="00F6623C">
        <w:rPr>
          <w:rFonts w:ascii="Times New Roman" w:hAnsi="Times New Roman" w:cs="Times New Roman"/>
          <w:sz w:val="18"/>
        </w:rPr>
        <w:t xml:space="preserve">1. </w:t>
      </w:r>
      <w:r w:rsidR="00F6623C" w:rsidRPr="00F6623C">
        <w:rPr>
          <w:rFonts w:ascii="Times New Roman" w:hAnsi="Times New Roman" w:cs="Times New Roman"/>
          <w:sz w:val="18"/>
        </w:rPr>
        <w:tab/>
        <w:t>American Coll of Occupational and Environmental Medicine. ACOEM Guidelines for Chronic Use of Opioids. American Coll of Occupational and Environmental Medicine; 2011. Available: https://www.nhms.org/sites/default/files/Pdfs/ACOEM%202011-Chronic%20Pain%20Opioid%20.pdf</w:t>
      </w:r>
    </w:p>
    <w:p w14:paraId="65431AE0"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2. </w:t>
      </w:r>
      <w:r w:rsidRPr="00F6623C">
        <w:rPr>
          <w:rFonts w:ascii="Times New Roman" w:hAnsi="Times New Roman" w:cs="Times New Roman"/>
          <w:sz w:val="18"/>
        </w:rPr>
        <w:tab/>
        <w:t>American College of Occupational and Environmental Medicine. Methodology for ACOEMʼs Occupational Medicine Practice Guidelines, 2011 revision. 2011. Available: https://www.acoem.org/gmc.aspx</w:t>
      </w:r>
    </w:p>
    <w:p w14:paraId="5A6AE096"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3. </w:t>
      </w:r>
      <w:r w:rsidRPr="00F6623C">
        <w:rPr>
          <w:rFonts w:ascii="Times New Roman" w:hAnsi="Times New Roman" w:cs="Times New Roman"/>
          <w:sz w:val="18"/>
        </w:rPr>
        <w:tab/>
        <w:t>American Geriatrics Society Panel on Pharmacological Management of Persistent Pain in Older Persons. Pharmacological management of persistent pain in older persons. J Am Geriatr Soc. 2009;57: 1331–1346. doi:10.1111/j.1532-5415.2009.02376.x</w:t>
      </w:r>
    </w:p>
    <w:p w14:paraId="5136B2D5"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4. </w:t>
      </w:r>
      <w:r w:rsidRPr="00F6623C">
        <w:rPr>
          <w:rFonts w:ascii="Times New Roman" w:hAnsi="Times New Roman" w:cs="Times New Roman"/>
          <w:sz w:val="18"/>
        </w:rPr>
        <w:tab/>
        <w:t xml:space="preserve">AGS Panel on Persistent Pain in Older Persons. The management of persistent pain in older persons. J Am Geriatr Soc. 2002;50: S205-224. </w:t>
      </w:r>
    </w:p>
    <w:p w14:paraId="3A777523"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5. </w:t>
      </w:r>
      <w:r w:rsidRPr="00F6623C">
        <w:rPr>
          <w:rFonts w:ascii="Times New Roman" w:hAnsi="Times New Roman" w:cs="Times New Roman"/>
          <w:sz w:val="18"/>
        </w:rPr>
        <w:tab/>
        <w:t xml:space="preserve">Chou R. 2009 Clinical Guidelines from the American Pain Society and the American Academy of Pain Medicine on the use of chronic opioid therapy in chronic noncancer pain: what are the key messages for clinical practice? Pol Arch Med Wewn. 2009;119: 469–477. </w:t>
      </w:r>
    </w:p>
    <w:p w14:paraId="13D59ECD"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6. </w:t>
      </w:r>
      <w:r w:rsidRPr="00F6623C">
        <w:rPr>
          <w:rFonts w:ascii="Times New Roman" w:hAnsi="Times New Roman" w:cs="Times New Roman"/>
          <w:sz w:val="18"/>
        </w:rPr>
        <w:tab/>
        <w:t>Chou R, Fanciullo GJ, Fine PG, Adler JA, Ballantyne JC, Davies P, et al. Clinical Guidelines for the Use of Chronic Opioid Therapy in Chronic Noncancer Pain. The Journal of Pain. 2009;10: 113-130.e22. doi:10.1016/j.jpain.2008.10.008</w:t>
      </w:r>
    </w:p>
    <w:p w14:paraId="0539E535"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7. </w:t>
      </w:r>
      <w:r w:rsidRPr="00F6623C">
        <w:rPr>
          <w:rFonts w:ascii="Times New Roman" w:hAnsi="Times New Roman" w:cs="Times New Roman"/>
          <w:sz w:val="18"/>
        </w:rPr>
        <w:tab/>
        <w:t>American Pain Society, American Academy of Pain Medicine. Guideline for the Use of Chronic Opioid Therapy in Chronic Noncancer Pain: Evidence Review. American Pain Society, American Academy of Pain Medicine; 2009. Available: http://americanpainsociety.org/uploads/education/guidelines/chronic-opioid-therapy-cncp.pdf</w:t>
      </w:r>
    </w:p>
    <w:p w14:paraId="191AE7B7"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8. </w:t>
      </w:r>
      <w:r w:rsidRPr="00F6623C">
        <w:rPr>
          <w:rFonts w:ascii="Times New Roman" w:hAnsi="Times New Roman" w:cs="Times New Roman"/>
          <w:sz w:val="18"/>
        </w:rPr>
        <w:tab/>
        <w:t>American Society of Anesthesiologists Task Force on Chronic Pain Management, American Society of Regional Anesthesia and Pain Medicine. Practice guidelines for chronic pain management: an updated report by the American Society of Anesthesiologists Task Force on Chronic Pain Management and the American Society of Regional Anesthesia and Pain Medicine. Anesthesiology. 2010;112: 810–833. doi:10.1097/ALN.0b013e3181c43103</w:t>
      </w:r>
    </w:p>
    <w:p w14:paraId="38381991"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9. </w:t>
      </w:r>
      <w:r w:rsidRPr="00F6623C">
        <w:rPr>
          <w:rFonts w:ascii="Times New Roman" w:hAnsi="Times New Roman" w:cs="Times New Roman"/>
          <w:sz w:val="18"/>
        </w:rPr>
        <w:tab/>
        <w:t xml:space="preserve">Manchikanti L, Abdi S, Atluri S, Balog CC, Benyamin RM, Boswell MV, et al. American Society of Interventional Pain Physicians (ASIPP) guidelines for responsible opioid prescribing in chronic non-cancer pain: Part I--evidence assessment. Pain Physician. 2012;15: S1-65. </w:t>
      </w:r>
    </w:p>
    <w:p w14:paraId="5B39B175"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10. </w:t>
      </w:r>
      <w:r w:rsidRPr="00F6623C">
        <w:rPr>
          <w:rFonts w:ascii="Times New Roman" w:hAnsi="Times New Roman" w:cs="Times New Roman"/>
          <w:sz w:val="18"/>
        </w:rPr>
        <w:tab/>
        <w:t xml:space="preserve">Manchikanti L, Abdi S, Atluri S, Balog CC, Benyamin RM, Boswell MV, et al. American Society of Interventional Pain Physicians (ASIPP) guidelines for responsible opioid prescribing in chronic non-cancer pain: Part 2--guidance. Pain Physician. 2012;15: S67-116. </w:t>
      </w:r>
    </w:p>
    <w:p w14:paraId="4F59B0EA"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11. </w:t>
      </w:r>
      <w:r w:rsidRPr="00F6623C">
        <w:rPr>
          <w:rFonts w:ascii="Times New Roman" w:hAnsi="Times New Roman" w:cs="Times New Roman"/>
          <w:sz w:val="18"/>
        </w:rPr>
        <w:tab/>
        <w:t>Furlan AD, Reardon R, Weppler C, National Opioid Use Guideline Group. Opioids for chronic noncancer pain: a new Canadian practice guideline. CMAJ. 2010;182: 923–930. doi:10.1503/cmaj.100187</w:t>
      </w:r>
    </w:p>
    <w:p w14:paraId="3EE4F1ED"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12. </w:t>
      </w:r>
      <w:r w:rsidRPr="00F6623C">
        <w:rPr>
          <w:rFonts w:ascii="Times New Roman" w:hAnsi="Times New Roman" w:cs="Times New Roman"/>
          <w:sz w:val="18"/>
        </w:rPr>
        <w:tab/>
        <w:t>National Opioid Use Guideline Group. Canadian Guideline for Safe and Effective Use of Opioids for Chronic Non-Cancer Pain. National Pain Centre; 2010. Available: http://nationalpaincentre.mcmaster.ca/opioid_2010/</w:t>
      </w:r>
    </w:p>
    <w:p w14:paraId="7021E0AB"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13. </w:t>
      </w:r>
      <w:r w:rsidRPr="00F6623C">
        <w:rPr>
          <w:rFonts w:ascii="Times New Roman" w:hAnsi="Times New Roman" w:cs="Times New Roman"/>
          <w:sz w:val="18"/>
        </w:rPr>
        <w:tab/>
        <w:t xml:space="preserve">Kahan M, Mailis-Gagnon A, Wilson L, Srivastava A, National Opioid Use Guideline Group. Canadian guideline for safe and effective use of opioids for chronic noncancer pain: clinical summary for family physicians. Part 1: general population. Can Fam Physician. 2011;57: 1257–1266, e407-418. </w:t>
      </w:r>
    </w:p>
    <w:p w14:paraId="5EB4FC93"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14. </w:t>
      </w:r>
      <w:r w:rsidRPr="00F6623C">
        <w:rPr>
          <w:rFonts w:ascii="Times New Roman" w:hAnsi="Times New Roman" w:cs="Times New Roman"/>
          <w:sz w:val="18"/>
        </w:rPr>
        <w:tab/>
        <w:t xml:space="preserve">Kahan M, Wilson L, Mailis-Gagnon A, Srivastava A, National Opioid Use Guideline Group. Canadian guideline for safe and effective use of opioids for chronic noncancer pain: clinical summary for family physicians. Part 2: special populations. Can Fam Physician. 2011;57: 1269–1276, e419-428. </w:t>
      </w:r>
    </w:p>
    <w:p w14:paraId="604A885D"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15. </w:t>
      </w:r>
      <w:r w:rsidRPr="00F6623C">
        <w:rPr>
          <w:rFonts w:ascii="Times New Roman" w:hAnsi="Times New Roman" w:cs="Times New Roman"/>
          <w:sz w:val="18"/>
        </w:rPr>
        <w:tab/>
        <w:t xml:space="preserve">Colorado Division of Workers’ Compensation. Chronic Pain Disorder Medical Treatment Guidelines. Colorado Division of Workers’ Compensation; 2011. </w:t>
      </w:r>
    </w:p>
    <w:p w14:paraId="265E4662"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16. </w:t>
      </w:r>
      <w:r w:rsidRPr="00F6623C">
        <w:rPr>
          <w:rFonts w:ascii="Times New Roman" w:hAnsi="Times New Roman" w:cs="Times New Roman"/>
          <w:sz w:val="18"/>
        </w:rPr>
        <w:tab/>
        <w:t>Fine PG, Portenoy RK, Ad Hoc Expert Panel on Evidence Review and Guidelines for Opioid Rotation. Establishing “best practices” for opioid rotation: conclusions of an expert panel. J Pain Symptom Manage. 2009;38: 418–425. doi:10.1016/j.jpainsymman.2009.06.002</w:t>
      </w:r>
    </w:p>
    <w:p w14:paraId="09BED4FA"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17. </w:t>
      </w:r>
      <w:r w:rsidRPr="00F6623C">
        <w:rPr>
          <w:rFonts w:ascii="Times New Roman" w:hAnsi="Times New Roman" w:cs="Times New Roman"/>
          <w:sz w:val="18"/>
        </w:rPr>
        <w:tab/>
        <w:t xml:space="preserve">Institute for Clinical Systems Improvement. Assessment and Management of Chronic Pain. Bloomington, MN: Institute for Clinical Systems Improvement; 2011. Institute for Clinical Systems Improvement; 2011. </w:t>
      </w:r>
    </w:p>
    <w:p w14:paraId="78FD3736"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18. </w:t>
      </w:r>
      <w:r w:rsidRPr="00F6623C">
        <w:rPr>
          <w:rFonts w:ascii="Times New Roman" w:hAnsi="Times New Roman" w:cs="Times New Roman"/>
          <w:sz w:val="18"/>
        </w:rPr>
        <w:tab/>
        <w:t xml:space="preserve">University of Michigan. Managing Chronic Non-Terminal Pain in Adults Including Prescribing Controlled Substances. University of Michigan; 2009. </w:t>
      </w:r>
    </w:p>
    <w:p w14:paraId="253BFBE5"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19. </w:t>
      </w:r>
      <w:r w:rsidRPr="00F6623C">
        <w:rPr>
          <w:rFonts w:ascii="Times New Roman" w:hAnsi="Times New Roman" w:cs="Times New Roman"/>
          <w:sz w:val="18"/>
        </w:rPr>
        <w:tab/>
        <w:t xml:space="preserve">Utah Department of Health. Utah Clinical Guidelines on Prescribing Opioids for Treatment of Pain. Utah Department of Health; 2009. </w:t>
      </w:r>
    </w:p>
    <w:p w14:paraId="093B3B9D"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20. </w:t>
      </w:r>
      <w:r w:rsidRPr="00F6623C">
        <w:rPr>
          <w:rFonts w:ascii="Times New Roman" w:hAnsi="Times New Roman" w:cs="Times New Roman"/>
          <w:sz w:val="18"/>
        </w:rPr>
        <w:tab/>
        <w:t>Rolfs RT, Johnson E, Williams NJ, Sundwall DN, Utah Department of Health. Utah clinical guidelines on prescribing opioids for treatment of pain. J Pain Palliat Care Pharmacother. 2010;24: 219–235. doi:10.3109/15360288.2010.503265</w:t>
      </w:r>
    </w:p>
    <w:p w14:paraId="406AAB16"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21. </w:t>
      </w:r>
      <w:r w:rsidRPr="00F6623C">
        <w:rPr>
          <w:rFonts w:ascii="Times New Roman" w:hAnsi="Times New Roman" w:cs="Times New Roman"/>
          <w:sz w:val="18"/>
        </w:rPr>
        <w:tab/>
        <w:t>Department of Veterans Affairs, Department of Defense. Clinical Practice Guideline for Management of Opioid Therapy for Chronic Pain. Department of Defense; 2010. Available: http://www.healthquality.va.gov/guidelines/Pain/cot/COT_312_Full-er.pdf</w:t>
      </w:r>
    </w:p>
    <w:p w14:paraId="5732358B"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22. </w:t>
      </w:r>
      <w:r w:rsidRPr="00F6623C">
        <w:rPr>
          <w:rFonts w:ascii="Times New Roman" w:hAnsi="Times New Roman" w:cs="Times New Roman"/>
          <w:sz w:val="18"/>
        </w:rPr>
        <w:tab/>
        <w:t xml:space="preserve">Department of Veteran Affairs and Department of Defense. Guidelines for guidelines. 2013. </w:t>
      </w:r>
    </w:p>
    <w:p w14:paraId="3C3D0B6F" w14:textId="77777777" w:rsidR="00F6623C" w:rsidRPr="00F6623C" w:rsidRDefault="00F6623C" w:rsidP="00F6623C">
      <w:pPr>
        <w:pStyle w:val="Bibliography"/>
        <w:rPr>
          <w:rFonts w:ascii="Times New Roman" w:hAnsi="Times New Roman" w:cs="Times New Roman"/>
          <w:sz w:val="18"/>
        </w:rPr>
      </w:pPr>
      <w:r w:rsidRPr="00F6623C">
        <w:rPr>
          <w:rFonts w:ascii="Times New Roman" w:hAnsi="Times New Roman" w:cs="Times New Roman"/>
          <w:sz w:val="18"/>
        </w:rPr>
        <w:t xml:space="preserve">23. </w:t>
      </w:r>
      <w:r w:rsidRPr="00F6623C">
        <w:rPr>
          <w:rFonts w:ascii="Times New Roman" w:hAnsi="Times New Roman" w:cs="Times New Roman"/>
          <w:sz w:val="18"/>
        </w:rPr>
        <w:tab/>
        <w:t xml:space="preserve">Work Loss Data Institute. Pain (chronic). Work Loss Data Institute; 2011. </w:t>
      </w:r>
    </w:p>
    <w:p w14:paraId="3D49F838" w14:textId="0CEC776C" w:rsidR="00CA07C4" w:rsidRPr="00CA07C4" w:rsidRDefault="00CA07C4" w:rsidP="00571F3C">
      <w:pPr>
        <w:rPr>
          <w:rFonts w:ascii="Times New Roman" w:hAnsi="Times New Roman" w:cs="Times New Roman"/>
          <w:sz w:val="18"/>
          <w:szCs w:val="18"/>
        </w:rPr>
      </w:pPr>
      <w:r>
        <w:rPr>
          <w:rFonts w:ascii="Times New Roman" w:hAnsi="Times New Roman" w:cs="Times New Roman"/>
          <w:sz w:val="18"/>
          <w:szCs w:val="18"/>
        </w:rPr>
        <w:fldChar w:fldCharType="end"/>
      </w:r>
    </w:p>
    <w:sectPr w:rsidR="00CA07C4" w:rsidRPr="00CA07C4" w:rsidSect="00FA44F4">
      <w:pgSz w:w="2016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DBB"/>
    <w:multiLevelType w:val="hybridMultilevel"/>
    <w:tmpl w:val="AAAE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C9B"/>
    <w:multiLevelType w:val="hybridMultilevel"/>
    <w:tmpl w:val="05A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DA3"/>
    <w:multiLevelType w:val="hybridMultilevel"/>
    <w:tmpl w:val="560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1C0F"/>
    <w:multiLevelType w:val="hybridMultilevel"/>
    <w:tmpl w:val="3CF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0B2F"/>
    <w:multiLevelType w:val="hybridMultilevel"/>
    <w:tmpl w:val="931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05328"/>
    <w:multiLevelType w:val="hybridMultilevel"/>
    <w:tmpl w:val="C3146FD6"/>
    <w:lvl w:ilvl="0" w:tplc="1B5C144A">
      <w:start w:val="201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00DA3"/>
    <w:multiLevelType w:val="hybridMultilevel"/>
    <w:tmpl w:val="D6A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7434"/>
    <w:multiLevelType w:val="hybridMultilevel"/>
    <w:tmpl w:val="5C2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37957"/>
    <w:multiLevelType w:val="hybridMultilevel"/>
    <w:tmpl w:val="A0264BB0"/>
    <w:lvl w:ilvl="0" w:tplc="1B5C144A">
      <w:start w:val="20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20F55"/>
    <w:multiLevelType w:val="hybridMultilevel"/>
    <w:tmpl w:val="A6966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BA57C0"/>
    <w:multiLevelType w:val="hybridMultilevel"/>
    <w:tmpl w:val="512C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10"/>
  </w:num>
  <w:num w:numId="6">
    <w:abstractNumId w:val="4"/>
  </w:num>
  <w:num w:numId="7">
    <w:abstractNumId w:val="0"/>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C"/>
    <w:rsid w:val="000276F1"/>
    <w:rsid w:val="0003241A"/>
    <w:rsid w:val="000331EC"/>
    <w:rsid w:val="00047F3D"/>
    <w:rsid w:val="00051EE5"/>
    <w:rsid w:val="00056E31"/>
    <w:rsid w:val="00065DF0"/>
    <w:rsid w:val="000733A3"/>
    <w:rsid w:val="00077C8F"/>
    <w:rsid w:val="00090A6B"/>
    <w:rsid w:val="000C2CA6"/>
    <w:rsid w:val="000C4101"/>
    <w:rsid w:val="000C69F1"/>
    <w:rsid w:val="000F37B9"/>
    <w:rsid w:val="00103D2F"/>
    <w:rsid w:val="001332F9"/>
    <w:rsid w:val="00137CFD"/>
    <w:rsid w:val="0014303D"/>
    <w:rsid w:val="00143C10"/>
    <w:rsid w:val="00147662"/>
    <w:rsid w:val="001560E0"/>
    <w:rsid w:val="001801DD"/>
    <w:rsid w:val="00182064"/>
    <w:rsid w:val="0019652F"/>
    <w:rsid w:val="001A04E9"/>
    <w:rsid w:val="001A32D0"/>
    <w:rsid w:val="001A37AB"/>
    <w:rsid w:val="001C588B"/>
    <w:rsid w:val="001C68E9"/>
    <w:rsid w:val="001D1804"/>
    <w:rsid w:val="001E0094"/>
    <w:rsid w:val="001E0F0A"/>
    <w:rsid w:val="001E41AC"/>
    <w:rsid w:val="001E73A9"/>
    <w:rsid w:val="00235D03"/>
    <w:rsid w:val="002426CE"/>
    <w:rsid w:val="002531C1"/>
    <w:rsid w:val="00264B60"/>
    <w:rsid w:val="002714BA"/>
    <w:rsid w:val="00275D01"/>
    <w:rsid w:val="002828DD"/>
    <w:rsid w:val="00283261"/>
    <w:rsid w:val="00284AFF"/>
    <w:rsid w:val="002A37BE"/>
    <w:rsid w:val="002A6EAA"/>
    <w:rsid w:val="002D2E87"/>
    <w:rsid w:val="002E6133"/>
    <w:rsid w:val="00314A49"/>
    <w:rsid w:val="00323FDE"/>
    <w:rsid w:val="00343165"/>
    <w:rsid w:val="00345CE5"/>
    <w:rsid w:val="00347F53"/>
    <w:rsid w:val="00365F11"/>
    <w:rsid w:val="00372B51"/>
    <w:rsid w:val="00372D4A"/>
    <w:rsid w:val="00375000"/>
    <w:rsid w:val="00375E90"/>
    <w:rsid w:val="003948F7"/>
    <w:rsid w:val="00397C92"/>
    <w:rsid w:val="003A6D0E"/>
    <w:rsid w:val="003B0ABA"/>
    <w:rsid w:val="003D4991"/>
    <w:rsid w:val="003D7DFB"/>
    <w:rsid w:val="003E062B"/>
    <w:rsid w:val="003E33C1"/>
    <w:rsid w:val="003F34A2"/>
    <w:rsid w:val="00402894"/>
    <w:rsid w:val="004143FB"/>
    <w:rsid w:val="00414B62"/>
    <w:rsid w:val="00431662"/>
    <w:rsid w:val="00432EE2"/>
    <w:rsid w:val="00455D54"/>
    <w:rsid w:val="00474742"/>
    <w:rsid w:val="00482C82"/>
    <w:rsid w:val="00493044"/>
    <w:rsid w:val="004B5019"/>
    <w:rsid w:val="004D341B"/>
    <w:rsid w:val="004D3B19"/>
    <w:rsid w:val="004E1312"/>
    <w:rsid w:val="004E2A6A"/>
    <w:rsid w:val="004E5DB5"/>
    <w:rsid w:val="004E6075"/>
    <w:rsid w:val="004F47C8"/>
    <w:rsid w:val="005138AD"/>
    <w:rsid w:val="005231E4"/>
    <w:rsid w:val="00525E40"/>
    <w:rsid w:val="005274C1"/>
    <w:rsid w:val="00535CBE"/>
    <w:rsid w:val="00536EFC"/>
    <w:rsid w:val="00553AF4"/>
    <w:rsid w:val="00555292"/>
    <w:rsid w:val="00563E4F"/>
    <w:rsid w:val="00564B30"/>
    <w:rsid w:val="00571F3C"/>
    <w:rsid w:val="005911F8"/>
    <w:rsid w:val="0059710E"/>
    <w:rsid w:val="005B14B4"/>
    <w:rsid w:val="005D26E5"/>
    <w:rsid w:val="005D5FD7"/>
    <w:rsid w:val="005D6FD2"/>
    <w:rsid w:val="005D703B"/>
    <w:rsid w:val="005D73DD"/>
    <w:rsid w:val="005E433E"/>
    <w:rsid w:val="00615C95"/>
    <w:rsid w:val="0062441F"/>
    <w:rsid w:val="0063739B"/>
    <w:rsid w:val="00662885"/>
    <w:rsid w:val="006629C7"/>
    <w:rsid w:val="006861E4"/>
    <w:rsid w:val="00697343"/>
    <w:rsid w:val="006D5E09"/>
    <w:rsid w:val="006D65CE"/>
    <w:rsid w:val="006E021C"/>
    <w:rsid w:val="006E058D"/>
    <w:rsid w:val="006E67B7"/>
    <w:rsid w:val="006F1CD7"/>
    <w:rsid w:val="006F2061"/>
    <w:rsid w:val="00701BAB"/>
    <w:rsid w:val="00711114"/>
    <w:rsid w:val="00713E23"/>
    <w:rsid w:val="00717B9D"/>
    <w:rsid w:val="00721FC7"/>
    <w:rsid w:val="007237A8"/>
    <w:rsid w:val="007363C5"/>
    <w:rsid w:val="0074605C"/>
    <w:rsid w:val="007539CB"/>
    <w:rsid w:val="007603C1"/>
    <w:rsid w:val="007615AD"/>
    <w:rsid w:val="00772542"/>
    <w:rsid w:val="00772B44"/>
    <w:rsid w:val="0077320B"/>
    <w:rsid w:val="00797247"/>
    <w:rsid w:val="007B50F1"/>
    <w:rsid w:val="007D6363"/>
    <w:rsid w:val="007E2895"/>
    <w:rsid w:val="007E2FF7"/>
    <w:rsid w:val="007E7EB3"/>
    <w:rsid w:val="007F7BD4"/>
    <w:rsid w:val="00803C7B"/>
    <w:rsid w:val="008050CE"/>
    <w:rsid w:val="00805AE2"/>
    <w:rsid w:val="008149BC"/>
    <w:rsid w:val="00817299"/>
    <w:rsid w:val="008218A0"/>
    <w:rsid w:val="00822FB7"/>
    <w:rsid w:val="008254CE"/>
    <w:rsid w:val="00832A56"/>
    <w:rsid w:val="00834776"/>
    <w:rsid w:val="00843906"/>
    <w:rsid w:val="008452C8"/>
    <w:rsid w:val="008563AC"/>
    <w:rsid w:val="008566A8"/>
    <w:rsid w:val="00856A40"/>
    <w:rsid w:val="00862533"/>
    <w:rsid w:val="00870E72"/>
    <w:rsid w:val="00873C45"/>
    <w:rsid w:val="008B075A"/>
    <w:rsid w:val="008B27C0"/>
    <w:rsid w:val="008D4B6D"/>
    <w:rsid w:val="008E3F2B"/>
    <w:rsid w:val="008F5A24"/>
    <w:rsid w:val="008F726E"/>
    <w:rsid w:val="008F7FC0"/>
    <w:rsid w:val="00900881"/>
    <w:rsid w:val="009064A7"/>
    <w:rsid w:val="00926F2B"/>
    <w:rsid w:val="00932B01"/>
    <w:rsid w:val="00935FE3"/>
    <w:rsid w:val="009442CC"/>
    <w:rsid w:val="009631A0"/>
    <w:rsid w:val="00970B5C"/>
    <w:rsid w:val="00972B9D"/>
    <w:rsid w:val="00991F9D"/>
    <w:rsid w:val="009B22EE"/>
    <w:rsid w:val="009D29E0"/>
    <w:rsid w:val="009E2B29"/>
    <w:rsid w:val="009E76A6"/>
    <w:rsid w:val="009F5A43"/>
    <w:rsid w:val="00A032E7"/>
    <w:rsid w:val="00A24338"/>
    <w:rsid w:val="00A27EC5"/>
    <w:rsid w:val="00A34084"/>
    <w:rsid w:val="00A34B62"/>
    <w:rsid w:val="00A7061D"/>
    <w:rsid w:val="00A81158"/>
    <w:rsid w:val="00A85D14"/>
    <w:rsid w:val="00A85E69"/>
    <w:rsid w:val="00A8796B"/>
    <w:rsid w:val="00A92238"/>
    <w:rsid w:val="00A943C5"/>
    <w:rsid w:val="00A96E61"/>
    <w:rsid w:val="00A972E9"/>
    <w:rsid w:val="00AA32E6"/>
    <w:rsid w:val="00AB0870"/>
    <w:rsid w:val="00AB3234"/>
    <w:rsid w:val="00AB73A6"/>
    <w:rsid w:val="00AC658C"/>
    <w:rsid w:val="00AD45BA"/>
    <w:rsid w:val="00AF4532"/>
    <w:rsid w:val="00AF5B55"/>
    <w:rsid w:val="00AF79D8"/>
    <w:rsid w:val="00B038DD"/>
    <w:rsid w:val="00B21326"/>
    <w:rsid w:val="00B45B64"/>
    <w:rsid w:val="00B63D33"/>
    <w:rsid w:val="00B97670"/>
    <w:rsid w:val="00BA235D"/>
    <w:rsid w:val="00BA50FF"/>
    <w:rsid w:val="00BA5582"/>
    <w:rsid w:val="00BB3FD2"/>
    <w:rsid w:val="00BB7285"/>
    <w:rsid w:val="00BC2B7A"/>
    <w:rsid w:val="00BD65FA"/>
    <w:rsid w:val="00BE265C"/>
    <w:rsid w:val="00BE3B78"/>
    <w:rsid w:val="00BE609C"/>
    <w:rsid w:val="00BF13E4"/>
    <w:rsid w:val="00BF707A"/>
    <w:rsid w:val="00BF73B5"/>
    <w:rsid w:val="00C06F3C"/>
    <w:rsid w:val="00C106EE"/>
    <w:rsid w:val="00C141FF"/>
    <w:rsid w:val="00C53403"/>
    <w:rsid w:val="00C5409F"/>
    <w:rsid w:val="00C67AE7"/>
    <w:rsid w:val="00C768FB"/>
    <w:rsid w:val="00C76EFF"/>
    <w:rsid w:val="00C90ACE"/>
    <w:rsid w:val="00C95A8E"/>
    <w:rsid w:val="00CA02BE"/>
    <w:rsid w:val="00CA07C4"/>
    <w:rsid w:val="00CB1D43"/>
    <w:rsid w:val="00CD543E"/>
    <w:rsid w:val="00CD70FE"/>
    <w:rsid w:val="00CF6553"/>
    <w:rsid w:val="00D11E9E"/>
    <w:rsid w:val="00D2008E"/>
    <w:rsid w:val="00D23C5D"/>
    <w:rsid w:val="00D24F6B"/>
    <w:rsid w:val="00D2586E"/>
    <w:rsid w:val="00D270B2"/>
    <w:rsid w:val="00D40608"/>
    <w:rsid w:val="00D43376"/>
    <w:rsid w:val="00D45AA6"/>
    <w:rsid w:val="00D45D6B"/>
    <w:rsid w:val="00D5091F"/>
    <w:rsid w:val="00D64B1C"/>
    <w:rsid w:val="00D7559E"/>
    <w:rsid w:val="00D80984"/>
    <w:rsid w:val="00D90A7E"/>
    <w:rsid w:val="00D949FB"/>
    <w:rsid w:val="00D9702D"/>
    <w:rsid w:val="00DD29C3"/>
    <w:rsid w:val="00DD409B"/>
    <w:rsid w:val="00E01BF3"/>
    <w:rsid w:val="00E15635"/>
    <w:rsid w:val="00E4615A"/>
    <w:rsid w:val="00E740F0"/>
    <w:rsid w:val="00E810D2"/>
    <w:rsid w:val="00EB3347"/>
    <w:rsid w:val="00ED301B"/>
    <w:rsid w:val="00ED6762"/>
    <w:rsid w:val="00EE1C95"/>
    <w:rsid w:val="00EE77BF"/>
    <w:rsid w:val="00EF1AA9"/>
    <w:rsid w:val="00F12A77"/>
    <w:rsid w:val="00F169D6"/>
    <w:rsid w:val="00F33AE5"/>
    <w:rsid w:val="00F46E6B"/>
    <w:rsid w:val="00F53C34"/>
    <w:rsid w:val="00F64B5D"/>
    <w:rsid w:val="00F6623C"/>
    <w:rsid w:val="00F70C44"/>
    <w:rsid w:val="00F853DA"/>
    <w:rsid w:val="00F92EDE"/>
    <w:rsid w:val="00F941E5"/>
    <w:rsid w:val="00FA44F4"/>
    <w:rsid w:val="00FB73D3"/>
    <w:rsid w:val="00FD000C"/>
    <w:rsid w:val="00FD2EC9"/>
    <w:rsid w:val="7C118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DBA8C"/>
  <w14:defaultImageDpi w14:val="300"/>
  <w15:docId w15:val="{218D66B2-BC15-0D4A-A99D-8CB1795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F3C"/>
    <w:rPr>
      <w:color w:val="0000FF" w:themeColor="hyperlink"/>
      <w:u w:val="single"/>
    </w:rPr>
  </w:style>
  <w:style w:type="character" w:styleId="Strong">
    <w:name w:val="Strong"/>
    <w:basedOn w:val="DefaultParagraphFont"/>
    <w:uiPriority w:val="22"/>
    <w:qFormat/>
    <w:rsid w:val="00571F3C"/>
    <w:rPr>
      <w:b/>
      <w:bCs/>
    </w:rPr>
  </w:style>
  <w:style w:type="character" w:styleId="FollowedHyperlink">
    <w:name w:val="FollowedHyperlink"/>
    <w:basedOn w:val="DefaultParagraphFont"/>
    <w:uiPriority w:val="99"/>
    <w:semiHidden/>
    <w:unhideWhenUsed/>
    <w:rsid w:val="00AF5B55"/>
    <w:rPr>
      <w:color w:val="800080" w:themeColor="followedHyperlink"/>
      <w:u w:val="single"/>
    </w:rPr>
  </w:style>
  <w:style w:type="paragraph" w:styleId="ListParagraph">
    <w:name w:val="List Paragraph"/>
    <w:basedOn w:val="Normal"/>
    <w:uiPriority w:val="34"/>
    <w:qFormat/>
    <w:rsid w:val="006E67B7"/>
    <w:pPr>
      <w:ind w:left="720"/>
      <w:contextualSpacing/>
    </w:pPr>
  </w:style>
  <w:style w:type="character" w:styleId="CommentReference">
    <w:name w:val="annotation reference"/>
    <w:basedOn w:val="DefaultParagraphFont"/>
    <w:uiPriority w:val="99"/>
    <w:semiHidden/>
    <w:unhideWhenUsed/>
    <w:rsid w:val="00A81158"/>
    <w:rPr>
      <w:sz w:val="16"/>
      <w:szCs w:val="16"/>
    </w:rPr>
  </w:style>
  <w:style w:type="paragraph" w:styleId="CommentText">
    <w:name w:val="annotation text"/>
    <w:basedOn w:val="Normal"/>
    <w:link w:val="CommentTextChar"/>
    <w:uiPriority w:val="99"/>
    <w:semiHidden/>
    <w:unhideWhenUsed/>
    <w:rsid w:val="00A8115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81158"/>
    <w:rPr>
      <w:rFonts w:eastAsiaTheme="minorHAnsi"/>
      <w:sz w:val="20"/>
      <w:szCs w:val="20"/>
    </w:rPr>
  </w:style>
  <w:style w:type="paragraph" w:styleId="BalloonText">
    <w:name w:val="Balloon Text"/>
    <w:basedOn w:val="Normal"/>
    <w:link w:val="BalloonTextChar"/>
    <w:uiPriority w:val="99"/>
    <w:semiHidden/>
    <w:unhideWhenUsed/>
    <w:rsid w:val="001A3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7AB"/>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1A32D0"/>
    <w:rPr>
      <w:color w:val="605E5C"/>
      <w:shd w:val="clear" w:color="auto" w:fill="E1DFDD"/>
    </w:rPr>
  </w:style>
  <w:style w:type="paragraph" w:styleId="Bibliography">
    <w:name w:val="Bibliography"/>
    <w:basedOn w:val="Normal"/>
    <w:next w:val="Normal"/>
    <w:uiPriority w:val="37"/>
    <w:unhideWhenUsed/>
    <w:rsid w:val="00CA07C4"/>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97A1E7965FA45A9390479BB1B55BA" ma:contentTypeVersion="10" ma:contentTypeDescription="Create a new document." ma:contentTypeScope="" ma:versionID="49c5c46e656542b05fe3b98a3403122f">
  <xsd:schema xmlns:xsd="http://www.w3.org/2001/XMLSchema" xmlns:xs="http://www.w3.org/2001/XMLSchema" xmlns:p="http://schemas.microsoft.com/office/2006/metadata/properties" xmlns:ns3="9ba060fc-a576-4645-9e2b-24325df59a01" xmlns:ns4="8eeaee64-8b1b-47af-a3d3-7196e0509816" targetNamespace="http://schemas.microsoft.com/office/2006/metadata/properties" ma:root="true" ma:fieldsID="026c785ac21e9cf0989137dcaf6ab3ec" ns3:_="" ns4:_="">
    <xsd:import namespace="9ba060fc-a576-4645-9e2b-24325df59a01"/>
    <xsd:import namespace="8eeaee64-8b1b-47af-a3d3-7196e050981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060fc-a576-4645-9e2b-24325df59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aee64-8b1b-47af-a3d3-7196e05098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1A2FE-5B2A-40C9-9331-EEF36239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060fc-a576-4645-9e2b-24325df59a01"/>
    <ds:schemaRef ds:uri="8eeaee64-8b1b-47af-a3d3-7196e0509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4EB3A-2E7D-4C64-B699-CC24C0704EED}">
  <ds:schemaRefs>
    <ds:schemaRef ds:uri="http://schemas.microsoft.com/sharepoint/v3/contenttype/forms"/>
  </ds:schemaRefs>
</ds:datastoreItem>
</file>

<file path=customXml/itemProps3.xml><?xml version="1.0" encoding="utf-8"?>
<ds:datastoreItem xmlns:ds="http://schemas.openxmlformats.org/officeDocument/2006/customXml" ds:itemID="{4B7B2914-97A7-4D22-8421-A4DCAEB8E465}">
  <ds:schemaRefs>
    <ds:schemaRef ds:uri="9ba060fc-a576-4645-9e2b-24325df59a01"/>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eeaee64-8b1b-47af-a3d3-7196e050981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8497</Words>
  <Characters>48434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SMS</dc:creator>
  <cp:keywords/>
  <dc:description/>
  <cp:lastModifiedBy>Spithoff, Sheryl</cp:lastModifiedBy>
  <cp:revision>4</cp:revision>
  <dcterms:created xsi:type="dcterms:W3CDTF">2020-01-13T15:11:00Z</dcterms:created>
  <dcterms:modified xsi:type="dcterms:W3CDTF">2020-01-13T15:13:00Z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id="7DTIZKiI"/&gt;&lt;style id="http://www.zotero.org/styles/plos-one" hasBibliography="1" bibliographyStyleHasBeenSet="1"/&gt;&lt;prefs&gt;&lt;pref name="fieldType" value="Field"/&gt;&lt;/prefs&gt;&lt;/data&gt;</vt:lpwstr>
  </property>
  <property fmtid="{D5CDD505-2E9C-101B-9397-08002B2CF9AE}" pid="3" name="ContentTypeId">
    <vt:lpwstr>0x010100F9397A1E7965FA45A9390479BB1B55BA</vt:lpwstr>
  </property>
</Properties>
</file>