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BEBBC" w14:textId="77777777" w:rsidR="00B54A54" w:rsidRDefault="00B96ED1">
      <w:r>
        <w:t>Note S16</w:t>
      </w:r>
    </w:p>
    <w:p w14:paraId="5B5F7206" w14:textId="77777777" w:rsidR="00B96ED1" w:rsidRDefault="00B96ED1"/>
    <w:p w14:paraId="77A62B24" w14:textId="74664966" w:rsidR="00B96ED1" w:rsidRDefault="00B96ED1">
      <w:r w:rsidRPr="00B96ED1">
        <w:t xml:space="preserve">Corporate funding for joint research in Japan does not cover the salaries of full time faculty. Usually it does not cover tuition or stipends of graduate students. It covers only a fraction of infrastructure costs – usually </w:t>
      </w:r>
      <w:r>
        <w:t xml:space="preserve">it does </w:t>
      </w:r>
      <w:r w:rsidRPr="00B96ED1">
        <w:t xml:space="preserve">not </w:t>
      </w:r>
      <w:r>
        <w:t xml:space="preserve">cover </w:t>
      </w:r>
      <w:r w:rsidRPr="00B96ED1">
        <w:t>building/facility construction or depreciation, computer costs, utilities, etc. The overhead rate</w:t>
      </w:r>
      <w:r w:rsidR="00DA36B7">
        <w:t xml:space="preserve"> of 30 percent is </w:t>
      </w:r>
      <w:r w:rsidRPr="00B96ED1">
        <w:t xml:space="preserve">less than </w:t>
      </w:r>
      <w:r w:rsidR="00DA36B7">
        <w:t xml:space="preserve">the 50 percent </w:t>
      </w:r>
      <w:r w:rsidR="009579CF">
        <w:t>(</w:t>
      </w:r>
      <w:r w:rsidR="00DA36B7">
        <w:t xml:space="preserve">or </w:t>
      </w:r>
      <w:r w:rsidR="009579CF">
        <w:t>greater)</w:t>
      </w:r>
      <w:r w:rsidR="00DA36B7">
        <w:t xml:space="preserve"> rate </w:t>
      </w:r>
      <w:r w:rsidR="009579CF">
        <w:t xml:space="preserve">that </w:t>
      </w:r>
      <w:r w:rsidR="00DA36B7">
        <w:t xml:space="preserve">most </w:t>
      </w:r>
      <w:r w:rsidRPr="00B96ED1">
        <w:t>US universities</w:t>
      </w:r>
      <w:r w:rsidR="009579CF">
        <w:t xml:space="preserve"> charge</w:t>
      </w:r>
      <w:r w:rsidRPr="00B96ED1">
        <w:t>, and rather than being dedicated to specific salary or infrastructure costs, overhead funds are for discretionary usage by the university laboratories. Corporate funding often does cover the costs of special equipment associated with the project, rental charges in case of dedicated corporate rooms/laboratories within the university, and the salaries of a growing number of non-tenured so-call</w:t>
      </w:r>
      <w:r>
        <w:t xml:space="preserve">ed “project” faculty (see </w:t>
      </w:r>
      <w:r w:rsidR="001D5C79">
        <w:t>[</w:t>
      </w:r>
      <w:r>
        <w:t>Cases S11</w:t>
      </w:r>
      <w:r w:rsidR="001D5C79">
        <w:t>]</w:t>
      </w:r>
      <w:r w:rsidRPr="00B96ED1">
        <w:t xml:space="preserve"> Example 2). In general Japanese companies pay much less per collaborative research project</w:t>
      </w:r>
      <w:r w:rsidR="001D5C79">
        <w:t xml:space="preserve"> than do American companies. [50,48</w:t>
      </w:r>
      <w:r w:rsidRPr="00B96ED1">
        <w:t>]</w:t>
      </w:r>
    </w:p>
    <w:p w14:paraId="5FEDE1A9" w14:textId="77777777" w:rsidR="00C84210" w:rsidRDefault="00C84210"/>
    <w:p w14:paraId="43F6EFA1" w14:textId="66102C41" w:rsidR="00C84210" w:rsidRDefault="00C84210">
      <w:r>
        <w:t xml:space="preserve">The </w:t>
      </w:r>
      <w:r w:rsidR="00440844">
        <w:t xml:space="preserve">following tables shows the </w:t>
      </w:r>
      <w:r>
        <w:t>percentage of total expenditures for research and development performed in universities (institut</w:t>
      </w:r>
      <w:r w:rsidR="00440844">
        <w:t xml:space="preserve">ions </w:t>
      </w:r>
      <w:r>
        <w:t xml:space="preserve">of higher education) in 2010 that was funded by business </w:t>
      </w:r>
      <w:r w:rsidR="00440844">
        <w:t>in each of</w:t>
      </w:r>
      <w:r>
        <w:t xml:space="preserve"> the four </w:t>
      </w:r>
      <w:r w:rsidR="00440844">
        <w:t>study countries</w:t>
      </w:r>
      <w:r>
        <w:t xml:space="preserve"> </w:t>
      </w:r>
      <w:r w:rsidR="00011EFE">
        <w:t xml:space="preserve">(designated in </w:t>
      </w:r>
      <w:r w:rsidR="00011EFE" w:rsidRPr="00011EFE">
        <w:rPr>
          <w:b/>
        </w:rPr>
        <w:t>bold</w:t>
      </w:r>
      <w:r w:rsidR="00011EFE">
        <w:t xml:space="preserve">) </w:t>
      </w:r>
      <w:r>
        <w:t>in addit</w:t>
      </w:r>
      <w:r w:rsidR="00440844">
        <w:t>ion to selected other countries</w:t>
      </w:r>
      <w:r w:rsidR="00747BFB">
        <w:t>.</w:t>
      </w:r>
    </w:p>
    <w:p w14:paraId="2956E73E" w14:textId="77777777" w:rsidR="00C84210" w:rsidRDefault="00C84210"/>
    <w:tbl>
      <w:tblPr>
        <w:tblStyle w:val="TableGrid"/>
        <w:tblW w:w="0" w:type="auto"/>
        <w:tblLook w:val="04A0" w:firstRow="1" w:lastRow="0" w:firstColumn="1" w:lastColumn="0" w:noHBand="0" w:noVBand="1"/>
      </w:tblPr>
      <w:tblGrid>
        <w:gridCol w:w="1528"/>
        <w:gridCol w:w="1136"/>
      </w:tblGrid>
      <w:tr w:rsidR="00011EFE" w14:paraId="751D6CF2" w14:textId="77777777" w:rsidTr="00011EFE">
        <w:tc>
          <w:tcPr>
            <w:tcW w:w="1528" w:type="dxa"/>
          </w:tcPr>
          <w:p w14:paraId="04D50EFA" w14:textId="04E972A2" w:rsidR="00011EFE" w:rsidRDefault="00011EFE">
            <w:r>
              <w:t>China</w:t>
            </w:r>
          </w:p>
        </w:tc>
        <w:tc>
          <w:tcPr>
            <w:tcW w:w="1136" w:type="dxa"/>
          </w:tcPr>
          <w:p w14:paraId="7CAC3295" w14:textId="0ADF67ED" w:rsidR="00011EFE" w:rsidRDefault="00011EFE" w:rsidP="00011EFE">
            <w:pPr>
              <w:jc w:val="right"/>
            </w:pPr>
            <w:r>
              <w:t>33.2</w:t>
            </w:r>
          </w:p>
        </w:tc>
      </w:tr>
      <w:tr w:rsidR="00C84210" w14:paraId="24787397" w14:textId="77777777" w:rsidTr="00011EFE">
        <w:tc>
          <w:tcPr>
            <w:tcW w:w="1528" w:type="dxa"/>
          </w:tcPr>
          <w:p w14:paraId="53231B41" w14:textId="6F861855" w:rsidR="00C84210" w:rsidRDefault="00C84210">
            <w:r>
              <w:t>Germany</w:t>
            </w:r>
          </w:p>
        </w:tc>
        <w:tc>
          <w:tcPr>
            <w:tcW w:w="1136" w:type="dxa"/>
          </w:tcPr>
          <w:p w14:paraId="04D96EB3" w14:textId="066073BD" w:rsidR="00C84210" w:rsidRDefault="00C84210" w:rsidP="00011EFE">
            <w:pPr>
              <w:jc w:val="right"/>
            </w:pPr>
            <w:r>
              <w:t>13.9</w:t>
            </w:r>
          </w:p>
        </w:tc>
      </w:tr>
      <w:tr w:rsidR="00C84210" w14:paraId="4FA629FD" w14:textId="77777777" w:rsidTr="00011EFE">
        <w:tc>
          <w:tcPr>
            <w:tcW w:w="1528" w:type="dxa"/>
          </w:tcPr>
          <w:p w14:paraId="3BF721ED" w14:textId="10BB6934" w:rsidR="00C84210" w:rsidRDefault="00C84210">
            <w:r>
              <w:t>South Korea</w:t>
            </w:r>
          </w:p>
        </w:tc>
        <w:tc>
          <w:tcPr>
            <w:tcW w:w="1136" w:type="dxa"/>
          </w:tcPr>
          <w:p w14:paraId="12DD522C" w14:textId="00BFB341" w:rsidR="00C84210" w:rsidRDefault="00C84210" w:rsidP="00011EFE">
            <w:pPr>
              <w:jc w:val="right"/>
            </w:pPr>
            <w:r>
              <w:t>11.3</w:t>
            </w:r>
          </w:p>
        </w:tc>
      </w:tr>
      <w:tr w:rsidR="00C84210" w14:paraId="651FAE76" w14:textId="77777777" w:rsidTr="00011EFE">
        <w:tc>
          <w:tcPr>
            <w:tcW w:w="1528" w:type="dxa"/>
          </w:tcPr>
          <w:p w14:paraId="34A5BE1B" w14:textId="554C8367" w:rsidR="00C84210" w:rsidRPr="00011EFE" w:rsidRDefault="00C84210">
            <w:pPr>
              <w:rPr>
                <w:b/>
              </w:rPr>
            </w:pPr>
            <w:r w:rsidRPr="00011EFE">
              <w:rPr>
                <w:b/>
              </w:rPr>
              <w:t>Canada</w:t>
            </w:r>
          </w:p>
        </w:tc>
        <w:tc>
          <w:tcPr>
            <w:tcW w:w="1136" w:type="dxa"/>
          </w:tcPr>
          <w:p w14:paraId="557ADA90" w14:textId="7359E87F" w:rsidR="00C84210" w:rsidRPr="00011EFE" w:rsidRDefault="00C84210" w:rsidP="00011EFE">
            <w:pPr>
              <w:jc w:val="right"/>
              <w:rPr>
                <w:b/>
              </w:rPr>
            </w:pPr>
            <w:r w:rsidRPr="00011EFE">
              <w:rPr>
                <w:b/>
              </w:rPr>
              <w:t>7.1</w:t>
            </w:r>
          </w:p>
        </w:tc>
      </w:tr>
      <w:tr w:rsidR="00C84210" w14:paraId="4EFEAB17" w14:textId="77777777" w:rsidTr="00011EFE">
        <w:tc>
          <w:tcPr>
            <w:tcW w:w="1528" w:type="dxa"/>
          </w:tcPr>
          <w:p w14:paraId="0B74D124" w14:textId="5B3952E3" w:rsidR="00C84210" w:rsidRPr="00011EFE" w:rsidRDefault="00C84210">
            <w:pPr>
              <w:rPr>
                <w:b/>
              </w:rPr>
            </w:pPr>
            <w:r w:rsidRPr="00011EFE">
              <w:rPr>
                <w:b/>
              </w:rPr>
              <w:t>USA</w:t>
            </w:r>
          </w:p>
        </w:tc>
        <w:tc>
          <w:tcPr>
            <w:tcW w:w="1136" w:type="dxa"/>
          </w:tcPr>
          <w:p w14:paraId="1B88179D" w14:textId="412DA6F5" w:rsidR="00C84210" w:rsidRPr="00011EFE" w:rsidRDefault="00C84210" w:rsidP="00011EFE">
            <w:pPr>
              <w:jc w:val="right"/>
              <w:rPr>
                <w:b/>
              </w:rPr>
            </w:pPr>
            <w:r w:rsidRPr="00011EFE">
              <w:rPr>
                <w:b/>
              </w:rPr>
              <w:t>5.2</w:t>
            </w:r>
          </w:p>
        </w:tc>
      </w:tr>
      <w:tr w:rsidR="00C84210" w14:paraId="5AC7B98E" w14:textId="77777777" w:rsidTr="00011EFE">
        <w:tc>
          <w:tcPr>
            <w:tcW w:w="1528" w:type="dxa"/>
          </w:tcPr>
          <w:p w14:paraId="1AF66F05" w14:textId="0F6ACC57" w:rsidR="00C84210" w:rsidRPr="00011EFE" w:rsidRDefault="00C84210">
            <w:pPr>
              <w:rPr>
                <w:b/>
              </w:rPr>
            </w:pPr>
            <w:r w:rsidRPr="00011EFE">
              <w:rPr>
                <w:b/>
              </w:rPr>
              <w:t>UK</w:t>
            </w:r>
          </w:p>
        </w:tc>
        <w:tc>
          <w:tcPr>
            <w:tcW w:w="1136" w:type="dxa"/>
          </w:tcPr>
          <w:p w14:paraId="7B0DC83D" w14:textId="0F2DD616" w:rsidR="00C84210" w:rsidRPr="00011EFE" w:rsidRDefault="00C84210" w:rsidP="00011EFE">
            <w:pPr>
              <w:jc w:val="right"/>
              <w:rPr>
                <w:b/>
              </w:rPr>
            </w:pPr>
            <w:r w:rsidRPr="00011EFE">
              <w:rPr>
                <w:b/>
              </w:rPr>
              <w:t>4.1</w:t>
            </w:r>
          </w:p>
        </w:tc>
      </w:tr>
      <w:tr w:rsidR="00C84210" w14:paraId="44913E86" w14:textId="77777777" w:rsidTr="00011EFE">
        <w:tc>
          <w:tcPr>
            <w:tcW w:w="1528" w:type="dxa"/>
          </w:tcPr>
          <w:p w14:paraId="3B265DEB" w14:textId="6C7AD179" w:rsidR="00C84210" w:rsidRPr="00011EFE" w:rsidRDefault="00C84210">
            <w:pPr>
              <w:rPr>
                <w:b/>
              </w:rPr>
            </w:pPr>
            <w:r w:rsidRPr="00011EFE">
              <w:rPr>
                <w:b/>
              </w:rPr>
              <w:t>Japan</w:t>
            </w:r>
          </w:p>
        </w:tc>
        <w:tc>
          <w:tcPr>
            <w:tcW w:w="1136" w:type="dxa"/>
          </w:tcPr>
          <w:p w14:paraId="49EDD856" w14:textId="3EC2F3BC" w:rsidR="00C84210" w:rsidRPr="00011EFE" w:rsidRDefault="00C84210" w:rsidP="00011EFE">
            <w:pPr>
              <w:jc w:val="right"/>
              <w:rPr>
                <w:b/>
              </w:rPr>
            </w:pPr>
            <w:r w:rsidRPr="00011EFE">
              <w:rPr>
                <w:b/>
              </w:rPr>
              <w:t>2.6</w:t>
            </w:r>
          </w:p>
        </w:tc>
      </w:tr>
      <w:tr w:rsidR="00C84210" w14:paraId="725E4992" w14:textId="77777777" w:rsidTr="00011EFE">
        <w:tc>
          <w:tcPr>
            <w:tcW w:w="1528" w:type="dxa"/>
          </w:tcPr>
          <w:p w14:paraId="15CB4F15" w14:textId="26395DA0" w:rsidR="00C84210" w:rsidRDefault="00C84210">
            <w:r>
              <w:t>France</w:t>
            </w:r>
          </w:p>
        </w:tc>
        <w:tc>
          <w:tcPr>
            <w:tcW w:w="1136" w:type="dxa"/>
          </w:tcPr>
          <w:p w14:paraId="33A59552" w14:textId="01C99912" w:rsidR="00C84210" w:rsidRDefault="00C84210" w:rsidP="00011EFE">
            <w:pPr>
              <w:jc w:val="right"/>
            </w:pPr>
            <w:r>
              <w:t>2.0</w:t>
            </w:r>
          </w:p>
        </w:tc>
        <w:bookmarkStart w:id="0" w:name="_GoBack"/>
        <w:bookmarkEnd w:id="0"/>
      </w:tr>
    </w:tbl>
    <w:p w14:paraId="3027CCC6" w14:textId="77777777" w:rsidR="00C84210" w:rsidRDefault="00C84210"/>
    <w:p w14:paraId="141E1248" w14:textId="4B105B33" w:rsidR="00011EFE" w:rsidRPr="001D5C79" w:rsidRDefault="00011EFE">
      <w:pPr>
        <w:rPr>
          <w:color w:val="000000"/>
          <w:sz w:val="18"/>
          <w:szCs w:val="18"/>
          <w:shd w:val="clear" w:color="auto" w:fill="FFFFFF"/>
        </w:rPr>
      </w:pPr>
      <w:r w:rsidRPr="001D5C79">
        <w:rPr>
          <w:sz w:val="18"/>
          <w:szCs w:val="18"/>
        </w:rPr>
        <w:t xml:space="preserve">Data source for all countries except Canada: </w:t>
      </w:r>
      <w:r w:rsidR="00440844" w:rsidRPr="001D5C79">
        <w:rPr>
          <w:color w:val="000000"/>
          <w:sz w:val="18"/>
          <w:szCs w:val="18"/>
          <w:shd w:val="clear" w:color="auto" w:fill="FFFFFF"/>
        </w:rPr>
        <w:t>National Science Board (NSB) (2014) Science and Engineering Indicators 2014. Arlington, VA: National Science Foundation. (Appendix Table 4-14, Gross expenditures on R&amp;D, by performing and funding sectors, for selected countries: 2010).</w:t>
      </w:r>
      <w:r w:rsidR="00747BFB" w:rsidRPr="001D5C79">
        <w:rPr>
          <w:color w:val="000000"/>
          <w:sz w:val="18"/>
          <w:szCs w:val="18"/>
          <w:shd w:val="clear" w:color="auto" w:fill="FFFFFF"/>
        </w:rPr>
        <w:t xml:space="preserve"> Available: </w:t>
      </w:r>
      <w:hyperlink r:id="rId5" w:anchor="c5" w:history="1">
        <w:r w:rsidR="00747BFB" w:rsidRPr="001D5C79">
          <w:rPr>
            <w:rStyle w:val="Hyperlink"/>
            <w:sz w:val="18"/>
            <w:szCs w:val="18"/>
            <w:shd w:val="clear" w:color="auto" w:fill="FFFFFF"/>
          </w:rPr>
          <w:t>http://www.nsf.gov/statistics/seind14/index.cfm/appendix/tables.htm#c5</w:t>
        </w:r>
      </w:hyperlink>
      <w:r w:rsidR="00747BFB" w:rsidRPr="001D5C79">
        <w:rPr>
          <w:color w:val="000000"/>
          <w:sz w:val="18"/>
          <w:szCs w:val="18"/>
          <w:shd w:val="clear" w:color="auto" w:fill="FFFFFF"/>
        </w:rPr>
        <w:t>. Accessed 13 Feb. 2014.</w:t>
      </w:r>
    </w:p>
    <w:p w14:paraId="157EB64C" w14:textId="77777777" w:rsidR="00747BFB" w:rsidRPr="001D5C79" w:rsidRDefault="00747BFB">
      <w:pPr>
        <w:rPr>
          <w:color w:val="000000"/>
          <w:sz w:val="18"/>
          <w:szCs w:val="18"/>
          <w:shd w:val="clear" w:color="auto" w:fill="FFFFFF"/>
        </w:rPr>
      </w:pPr>
    </w:p>
    <w:p w14:paraId="52742619" w14:textId="77777777" w:rsidR="006D25D1" w:rsidRPr="001D5C79" w:rsidRDefault="00747BFB">
      <w:pPr>
        <w:rPr>
          <w:color w:val="000000"/>
          <w:sz w:val="18"/>
          <w:szCs w:val="18"/>
          <w:shd w:val="clear" w:color="auto" w:fill="FFFFFF"/>
        </w:rPr>
      </w:pPr>
      <w:r w:rsidRPr="001D5C79">
        <w:rPr>
          <w:color w:val="000000"/>
          <w:sz w:val="18"/>
          <w:szCs w:val="18"/>
          <w:shd w:val="clear" w:color="auto" w:fill="FFFFFF"/>
        </w:rPr>
        <w:t xml:space="preserve">For Canada: </w:t>
      </w:r>
    </w:p>
    <w:p w14:paraId="57F8ED0D" w14:textId="4CE6759B" w:rsidR="006D25D1" w:rsidRPr="001D5C79" w:rsidRDefault="00747BFB">
      <w:pPr>
        <w:rPr>
          <w:color w:val="000000"/>
          <w:sz w:val="18"/>
          <w:szCs w:val="18"/>
          <w:shd w:val="clear" w:color="auto" w:fill="FFFFFF"/>
        </w:rPr>
      </w:pPr>
      <w:r w:rsidRPr="001D5C79">
        <w:rPr>
          <w:color w:val="000000"/>
          <w:sz w:val="18"/>
          <w:szCs w:val="18"/>
          <w:shd w:val="clear" w:color="auto" w:fill="FFFFFF"/>
        </w:rPr>
        <w:t xml:space="preserve">Data for total 2010 university R&amp;D expenditures (11,249 m CAD) are from Statistics Canada. Available: </w:t>
      </w:r>
      <w:hyperlink r:id="rId6" w:history="1">
        <w:r w:rsidRPr="001D5C79">
          <w:rPr>
            <w:rStyle w:val="Hyperlink"/>
            <w:sz w:val="18"/>
            <w:szCs w:val="18"/>
            <w:shd w:val="clear" w:color="auto" w:fill="FFFFFF"/>
          </w:rPr>
          <w:t>http://www.statcan.gc.ca/tables-tableaux/sum-som/l01/cst01/scte02a-eng.htm</w:t>
        </w:r>
      </w:hyperlink>
      <w:r w:rsidRPr="001D5C79">
        <w:rPr>
          <w:color w:val="000000"/>
          <w:sz w:val="18"/>
          <w:szCs w:val="18"/>
          <w:shd w:val="clear" w:color="auto" w:fill="FFFFFF"/>
        </w:rPr>
        <w:t xml:space="preserve">. Accessed 13 Feb. 2014. </w:t>
      </w:r>
    </w:p>
    <w:p w14:paraId="39243EAD" w14:textId="11947E7A" w:rsidR="00747BFB" w:rsidRPr="001D5C79" w:rsidRDefault="00747BFB">
      <w:pPr>
        <w:rPr>
          <w:sz w:val="18"/>
          <w:szCs w:val="18"/>
        </w:rPr>
      </w:pPr>
      <w:r w:rsidRPr="001D5C79">
        <w:rPr>
          <w:color w:val="000000"/>
          <w:sz w:val="18"/>
          <w:szCs w:val="18"/>
          <w:shd w:val="clear" w:color="auto" w:fill="FFFFFF"/>
        </w:rPr>
        <w:t>Data for 2010 industry funding for university R&amp;D (</w:t>
      </w:r>
      <w:r w:rsidR="006D25D1" w:rsidRPr="001D5C79">
        <w:rPr>
          <w:color w:val="000000"/>
          <w:sz w:val="18"/>
          <w:szCs w:val="18"/>
          <w:shd w:val="clear" w:color="auto" w:fill="FFFFFF"/>
        </w:rPr>
        <w:t xml:space="preserve">795 M CAD, </w:t>
      </w:r>
      <w:r w:rsidRPr="001D5C79">
        <w:rPr>
          <w:color w:val="000000"/>
          <w:sz w:val="18"/>
          <w:szCs w:val="18"/>
          <w:shd w:val="clear" w:color="auto" w:fill="FFFFFF"/>
        </w:rPr>
        <w:t xml:space="preserve">industry sponsored research only) are from AUTM, </w:t>
      </w:r>
      <w:r w:rsidR="00A96A5E" w:rsidRPr="001D5C79">
        <w:rPr>
          <w:color w:val="000000"/>
          <w:sz w:val="18"/>
          <w:szCs w:val="18"/>
          <w:shd w:val="clear" w:color="auto" w:fill="FFFFFF"/>
        </w:rPr>
        <w:t>reference 13</w:t>
      </w:r>
      <w:r w:rsidRPr="001D5C79">
        <w:rPr>
          <w:color w:val="000000"/>
          <w:sz w:val="18"/>
          <w:szCs w:val="18"/>
          <w:shd w:val="clear" w:color="auto" w:fill="FFFFFF"/>
        </w:rPr>
        <w:t xml:space="preserve"> main </w:t>
      </w:r>
      <w:proofErr w:type="gramStart"/>
      <w:r w:rsidRPr="001D5C79">
        <w:rPr>
          <w:color w:val="000000"/>
          <w:sz w:val="18"/>
          <w:szCs w:val="18"/>
          <w:shd w:val="clear" w:color="auto" w:fill="FFFFFF"/>
        </w:rPr>
        <w:t>text</w:t>
      </w:r>
      <w:proofErr w:type="gramEnd"/>
      <w:r w:rsidRPr="001D5C79">
        <w:rPr>
          <w:color w:val="000000"/>
          <w:sz w:val="18"/>
          <w:szCs w:val="18"/>
          <w:shd w:val="clear" w:color="auto" w:fill="FFFFFF"/>
        </w:rPr>
        <w:t>.</w:t>
      </w:r>
      <w:r w:rsidR="006D25D1" w:rsidRPr="001D5C79">
        <w:rPr>
          <w:color w:val="000000"/>
          <w:sz w:val="18"/>
          <w:szCs w:val="18"/>
          <w:shd w:val="clear" w:color="auto" w:fill="FFFFFF"/>
        </w:rPr>
        <w:t xml:space="preserve"> See also Note S1.</w:t>
      </w:r>
    </w:p>
    <w:sectPr w:rsidR="00747BFB" w:rsidRPr="001D5C79"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ED1"/>
    <w:rsid w:val="00011EFE"/>
    <w:rsid w:val="001D5C79"/>
    <w:rsid w:val="00202BDC"/>
    <w:rsid w:val="00440844"/>
    <w:rsid w:val="006D25D1"/>
    <w:rsid w:val="00722BBE"/>
    <w:rsid w:val="00747BFB"/>
    <w:rsid w:val="009579CF"/>
    <w:rsid w:val="00A96A5E"/>
    <w:rsid w:val="00B54A54"/>
    <w:rsid w:val="00B96ED1"/>
    <w:rsid w:val="00C84210"/>
    <w:rsid w:val="00DA36B7"/>
    <w:rsid w:val="00F12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2C70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42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47BF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42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47B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sf.gov/statistics/seind14/index.cfm/appendix/tables.htm" TargetMode="External"/><Relationship Id="rId6" Type="http://schemas.openxmlformats.org/officeDocument/2006/relationships/hyperlink" Target="http://www.statcan.gc.ca/tables-tableaux/sum-som/l01/cst01/scte02a-eng.ht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1981</Characters>
  <Application>Microsoft Macintosh Word</Application>
  <DocSecurity>0</DocSecurity>
  <Lines>16</Lines>
  <Paragraphs>4</Paragraphs>
  <ScaleCrop>false</ScaleCrop>
  <Company>University of Tokyo</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2014-02-15T06:40:00Z</dcterms:created>
  <dcterms:modified xsi:type="dcterms:W3CDTF">2014-02-15T06:40:00Z</dcterms:modified>
</cp:coreProperties>
</file>