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11" w:rsidRDefault="00F62FE3">
      <w:r w:rsidRPr="00F62FE3">
        <w:rPr>
          <w:color w:val="000000"/>
        </w:rPr>
      </w:r>
      <w:r w:rsidRPr="00F62FE3">
        <w:rPr>
          <w:color w:val="000000"/>
        </w:rPr>
        <w:pict>
          <v:group id="_x0000_s1026" style="width:376.35pt;height:531.8pt;mso-position-horizontal-relative:char;mso-position-vertical-relative:line" coordsize="7527,106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7527;height:10636" o:preferrelative="f">
              <v:fill o:detectmouseclick="t"/>
              <o:lock v:ext="edit" text="t"/>
            </v:shape>
            <v:rect id="_x0000_s1028" style="position:absolute;left:173;width:4190;height:692" stroked="f">
              <v:textbox inset="6.48pt,3.24pt,6.48pt,3.24pt">
                <w:txbxContent>
                  <w:p w:rsidR="00E01EA7" w:rsidRDefault="00E01EA7" w:rsidP="00E01EA7">
                    <w:pPr>
                      <w:rPr>
                        <w:sz w:val="25"/>
                        <w:szCs w:val="28"/>
                      </w:rPr>
                    </w:pPr>
                    <w:r>
                      <w:rPr>
                        <w:b/>
                        <w:bCs/>
                        <w:sz w:val="25"/>
                        <w:szCs w:val="28"/>
                      </w:rPr>
                      <w:t>PRISMA 2009 Flow Diagram</w:t>
                    </w:r>
                  </w:p>
                </w:txbxContent>
              </v:textbox>
            </v:rect>
            <v:rect id="_x0000_s1029" style="position:absolute;left:2225;top:5222;width:2339;height:1123">
              <v:textbox inset="6.48pt,3.24pt,6.48pt,3.24pt">
                <w:txbxContent>
                  <w:p w:rsidR="00E01EA7" w:rsidRDefault="00E01EA7" w:rsidP="00E01EA7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>Full-text articles assessed for eligibility</w:t>
                    </w:r>
                  </w:p>
                  <w:p w:rsidR="00E01EA7" w:rsidRDefault="00E01EA7" w:rsidP="00E01EA7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(n </w:t>
                    </w:r>
                    <w:r>
                      <w:rPr>
                        <w:sz w:val="19"/>
                      </w:rPr>
                      <w:t xml:space="preserve">= </w:t>
                    </w:r>
                    <w:r>
                      <w:rPr>
                        <w:rFonts w:hint="eastAsia"/>
                        <w:sz w:val="19"/>
                      </w:rPr>
                      <w:t>26)</w:t>
                    </w:r>
                  </w:p>
                </w:txbxContent>
              </v:textbox>
            </v:rect>
            <v:rect id="_x0000_s1030" style="position:absolute;left:5265;top:5015;width:1849;height:4168">
              <v:textbox inset="6.48pt,3.24pt,6.48pt,3.24pt">
                <w:txbxContent>
                  <w:p w:rsidR="00E01EA7" w:rsidRDefault="00E01EA7" w:rsidP="00E01EA7">
                    <w:pPr>
                      <w:jc w:val="left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 20 articles were excluded with reasons listed as the following.</w:t>
                    </w:r>
                  </w:p>
                  <w:p w:rsidR="00E01EA7" w:rsidRDefault="00E01EA7" w:rsidP="00E01EA7">
                    <w:pPr>
                      <w:jc w:val="left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Participants did not meet the inclusive criteria (n </w:t>
                    </w:r>
                    <w:r>
                      <w:rPr>
                        <w:sz w:val="19"/>
                      </w:rPr>
                      <w:t xml:space="preserve">= </w:t>
                    </w:r>
                    <w:r>
                      <w:rPr>
                        <w:rFonts w:hint="eastAsia"/>
                        <w:sz w:val="19"/>
                      </w:rPr>
                      <w:t>8)</w:t>
                    </w:r>
                  </w:p>
                  <w:p w:rsidR="00E01EA7" w:rsidRDefault="00E01EA7" w:rsidP="00E01EA7">
                    <w:pPr>
                      <w:jc w:val="left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Duplication (n </w:t>
                    </w:r>
                    <w:r>
                      <w:rPr>
                        <w:sz w:val="19"/>
                      </w:rPr>
                      <w:t xml:space="preserve">= </w:t>
                    </w:r>
                    <w:r>
                      <w:rPr>
                        <w:rFonts w:hint="eastAsia"/>
                        <w:sz w:val="19"/>
                      </w:rPr>
                      <w:t>2)</w:t>
                    </w:r>
                  </w:p>
                  <w:p w:rsidR="00E01EA7" w:rsidRDefault="00E01EA7" w:rsidP="00E01EA7">
                    <w:pPr>
                      <w:jc w:val="left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No control group (n </w:t>
                    </w:r>
                    <w:r>
                      <w:rPr>
                        <w:sz w:val="19"/>
                      </w:rPr>
                      <w:t>=</w:t>
                    </w:r>
                    <w:r>
                      <w:rPr>
                        <w:rFonts w:hint="eastAsia"/>
                        <w:sz w:val="19"/>
                      </w:rPr>
                      <w:t>3)</w:t>
                    </w:r>
                  </w:p>
                  <w:p w:rsidR="00E01EA7" w:rsidRDefault="00E01EA7" w:rsidP="00E01EA7">
                    <w:pPr>
                      <w:jc w:val="left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No data for extraction (n </w:t>
                    </w:r>
                    <w:r>
                      <w:rPr>
                        <w:sz w:val="19"/>
                      </w:rPr>
                      <w:t>=</w:t>
                    </w:r>
                    <w:r>
                      <w:rPr>
                        <w:rFonts w:hint="eastAsia"/>
                        <w:sz w:val="19"/>
                      </w:rPr>
                      <w:t>7)</w:t>
                    </w:r>
                  </w:p>
                </w:txbxContent>
              </v:textbox>
            </v:rect>
            <v:group id="_x0000_s1031" style="position:absolute;top:1819;width:564;height:7116" coordsize="636,8024">
              <v:rect id="_x0000_s1032" style="position:absolute;left:6;width:630;height:1716" fillcolor="#cff">
                <v:textbox style="layout-flow:vertical;mso-layout-flow-alt:bottom-to-top" inset="6.48pt,3.24pt,6.48pt,3.24pt">
                  <w:txbxContent>
                    <w:p w:rsidR="00E01EA7" w:rsidRDefault="00E01EA7" w:rsidP="00E01EA7">
                      <w:pPr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Identification</w:t>
                      </w:r>
                    </w:p>
                  </w:txbxContent>
                </v:textbox>
              </v:rect>
              <v:rect id="_x0000_s1033" style="position:absolute;left:4;top:2121;width:630;height:1716" fillcolor="#cff">
                <v:textbox style="layout-flow:vertical;mso-layout-flow-alt:bottom-to-top" inset="6.48pt,3.24pt,6.48pt,3.24pt">
                  <w:txbxContent>
                    <w:p w:rsidR="00E01EA7" w:rsidRDefault="00E01EA7" w:rsidP="00E01EA7">
                      <w:pPr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Screening</w:t>
                      </w:r>
                    </w:p>
                  </w:txbxContent>
                </v:textbox>
              </v:rect>
              <v:rect id="_x0000_s1034" style="position:absolute;left:2;top:4231;width:630;height:1716" fillcolor="#cff">
                <v:textbox style="layout-flow:vertical;mso-layout-flow-alt:bottom-to-top" inset="6.48pt,3.24pt,6.48pt,3.24pt">
                  <w:txbxContent>
                    <w:p w:rsidR="00E01EA7" w:rsidRDefault="00E01EA7" w:rsidP="00E01EA7">
                      <w:pPr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Eligibility</w:t>
                      </w:r>
                    </w:p>
                  </w:txbxContent>
                </v:textbox>
              </v:rect>
              <v:rect id="_x0000_s1035" style="position:absolute;top:6308;width:630;height:1716" fillcolor="#cff">
                <v:textbox style="layout-flow:vertical;mso-layout-flow-alt:bottom-to-top" inset="6.48pt,3.24pt,6.48pt,3.24pt">
                  <w:txbxContent>
                    <w:p w:rsidR="00E01EA7" w:rsidRDefault="00E01EA7" w:rsidP="00E01EA7">
                      <w:pPr>
                        <w:jc w:val="center"/>
                        <w:rPr>
                          <w:b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Included</w:t>
                      </w:r>
                    </w:p>
                  </w:txbxContent>
                </v:textbox>
              </v:rect>
            </v:group>
            <v:rect id="_x0000_s1036" style="position:absolute;left:247;top:566;width:2825;height:1041">
              <v:textbox>
                <w:txbxContent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Records identified through database searching</w:t>
                    </w:r>
                  </w:p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(n =161)</w:t>
                    </w:r>
                  </w:p>
                  <w:p w:rsidR="00E01EA7" w:rsidRDefault="00E01EA7" w:rsidP="00E01EA7"/>
                </w:txbxContent>
              </v:textbox>
            </v:rect>
            <v:rect id="_x0000_s1037" style="position:absolute;left:3515;top:566;width:2848;height:1041">
              <v:textbox>
                <w:txbxContent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Additional records identified through other sources</w:t>
                    </w:r>
                  </w:p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(n = 10)</w:t>
                    </w:r>
                  </w:p>
                  <w:p w:rsidR="00E01EA7" w:rsidRDefault="00E01EA7" w:rsidP="00E01EA7"/>
                </w:txbxContent>
              </v:textbox>
            </v:rect>
            <v:rect id="_x0000_s1038" style="position:absolute;left:1204;top:2576;width:4305;height:765">
              <v:textbox>
                <w:txbxContent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Records after duplicates removed</w:t>
                    </w:r>
                  </w:p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(n </w:t>
                    </w:r>
                    <w:r>
                      <w:t>=</w:t>
                    </w:r>
                    <w:r>
                      <w:rPr>
                        <w:rFonts w:hint="eastAsia"/>
                      </w:rPr>
                      <w:t>122)</w:t>
                    </w:r>
                  </w:p>
                  <w:p w:rsidR="00E01EA7" w:rsidRDefault="00E01EA7" w:rsidP="00E01EA7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3357;top:3341;width:1;height:495" o:connectortype="straight">
              <v:stroke endarrow="block"/>
            </v:shape>
            <v:rect id="_x0000_s1040" style="position:absolute;left:2254;top:3836;width:2310;height:750">
              <v:textbox>
                <w:txbxContent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Records screened</w:t>
                    </w:r>
                  </w:p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(n </w:t>
                    </w:r>
                    <w:r>
                      <w:t>=</w:t>
                    </w:r>
                    <w:r>
                      <w:rPr>
                        <w:rFonts w:hint="eastAsia"/>
                      </w:rPr>
                      <w:t>122)</w:t>
                    </w:r>
                  </w:p>
                  <w:p w:rsidR="00E01EA7" w:rsidRDefault="00E01EA7" w:rsidP="00E01EA7"/>
                </w:txbxContent>
              </v:textbox>
            </v:rect>
            <v:shape id="_x0000_s1041" type="#_x0000_t32" style="position:absolute;left:4564;top:4211;width:671;height:15" o:connectortype="straight">
              <v:stroke endarrow="block"/>
            </v:shape>
            <v:rect id="_x0000_s1042" style="position:absolute;left:5235;top:3836;width:1849;height:750">
              <v:textbox>
                <w:txbxContent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>Records excluded</w:t>
                    </w:r>
                  </w:p>
                  <w:p w:rsidR="00E01EA7" w:rsidRDefault="00E01EA7" w:rsidP="00E01EA7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(n </w:t>
                    </w:r>
                    <w:r>
                      <w:t>=</w:t>
                    </w:r>
                    <w:r>
                      <w:rPr>
                        <w:rFonts w:hint="eastAsia"/>
                      </w:rPr>
                      <w:t>96)</w:t>
                    </w:r>
                  </w:p>
                  <w:p w:rsidR="00E01EA7" w:rsidRDefault="00E01EA7" w:rsidP="00E01EA7"/>
                </w:txbxContent>
              </v:textbox>
            </v:rect>
            <v:shape id="_x0000_s1043" type="#_x0000_t32" style="position:absolute;left:1660;top:1607;width:1697;height:969" o:connectortype="straight">
              <v:stroke endarrow="block"/>
            </v:shape>
            <v:shape id="_x0000_s1044" type="#_x0000_t32" style="position:absolute;left:3357;top:1607;width:1582;height:969;flip:x" o:connectortype="straight">
              <v:stroke endarrow="block"/>
            </v:shape>
            <v:shape id="_x0000_s1045" type="#_x0000_t32" style="position:absolute;left:4593;top:5792;width:672;height:15" o:connectortype="straight">
              <v:stroke endarrow="block"/>
            </v:shape>
            <v:rect id="_x0000_s1046" style="position:absolute;left:1660;top:10021;width:4124;height:615" strokecolor="white">
              <v:textbox>
                <w:txbxContent>
                  <w:p w:rsidR="00E01EA7" w:rsidRDefault="00E01EA7" w:rsidP="00E01EA7"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 w:rsidR="000F4D71">
                      <w:rPr>
                        <w:kern w:val="0"/>
                        <w:szCs w:val="21"/>
                      </w:rPr>
                      <w:t xml:space="preserve"> PRISMA 2009 Flow </w:t>
                    </w:r>
                    <w:r w:rsidR="000F4D71">
                      <w:rPr>
                        <w:kern w:val="0"/>
                        <w:szCs w:val="21"/>
                      </w:rPr>
                      <w:t>Diagram</w:t>
                    </w:r>
                  </w:p>
                  <w:p w:rsidR="00E01EA7" w:rsidRDefault="00E01EA7" w:rsidP="00E01EA7"/>
                </w:txbxContent>
              </v:textbox>
            </v:rect>
            <v:rect id="_x0000_s1047" style="position:absolute;left:2245;top:6981;width:2319;height:797">
              <v:textbox inset="6.48pt,3.24pt,6.48pt,3.24pt">
                <w:txbxContent>
                  <w:p w:rsidR="00E01EA7" w:rsidRDefault="00E01EA7" w:rsidP="00E01EA7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rFonts w:hint="eastAsia"/>
                        <w:sz w:val="19"/>
                      </w:rPr>
                      <w:t xml:space="preserve">Studies included in the review (n </w:t>
                    </w:r>
                    <w:r>
                      <w:rPr>
                        <w:sz w:val="19"/>
                      </w:rPr>
                      <w:t xml:space="preserve">= </w:t>
                    </w:r>
                    <w:r>
                      <w:rPr>
                        <w:rFonts w:hint="eastAsia"/>
                        <w:sz w:val="19"/>
                      </w:rPr>
                      <w:t>6)</w:t>
                    </w:r>
                  </w:p>
                </w:txbxContent>
              </v:textbox>
            </v:rect>
            <v:shape id="_x0000_s1048" type="#_x0000_t32" style="position:absolute;left:3358;top:4586;width:15;height:636" o:connectortype="straight">
              <v:stroke endarrow="block"/>
            </v:shape>
            <v:shape id="_x0000_s1049" type="#_x0000_t32" style="position:absolute;left:3395;top:6345;width:10;height:636" o:connectortype="straight">
              <v:stroke endarrow="block"/>
            </v:shape>
            <v:shape id="_x0000_s1050" type="#_x0000_t32" style="position:absolute;left:3405;top:7778;width:10;height:636" o:connectortype="straight">
              <v:stroke endarrow="block"/>
            </v:shape>
            <v:rect id="_x0000_s1051" style="position:absolute;left:2254;top:8414;width:2319;height:1492">
              <v:textbox inset="6.48pt,3.24pt,6.48pt,3.24pt">
                <w:txbxContent>
                  <w:p w:rsidR="00E01EA7" w:rsidRDefault="00E01EA7" w:rsidP="00E01EA7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Studies included in quantitative synthesis (meta-analysis</w:t>
                    </w:r>
                    <w:proofErr w:type="gramStart"/>
                    <w:r>
                      <w:rPr>
                        <w:sz w:val="19"/>
                      </w:rPr>
                      <w:t>)</w:t>
                    </w:r>
                    <w:proofErr w:type="gramEnd"/>
                    <w:r>
                      <w:rPr>
                        <w:sz w:val="19"/>
                      </w:rPr>
                      <w:br/>
                      <w:t xml:space="preserve">(n = </w:t>
                    </w:r>
                    <w:r>
                      <w:rPr>
                        <w:rFonts w:hint="eastAsia"/>
                        <w:sz w:val="19"/>
                      </w:rPr>
                      <w:t>6</w:t>
                    </w:r>
                    <w:r>
                      <w:rPr>
                        <w:sz w:val="19"/>
                      </w:rPr>
                      <w:t>)</w:t>
                    </w:r>
                  </w:p>
                  <w:p w:rsidR="00E01EA7" w:rsidRDefault="00E01EA7" w:rsidP="00E01EA7">
                    <w:pPr>
                      <w:jc w:val="center"/>
                      <w:rPr>
                        <w:sz w:val="19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sectPr w:rsidR="00777611" w:rsidSect="007776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D81" w:rsidRDefault="005A6D81" w:rsidP="005A6D81">
      <w:r>
        <w:separator/>
      </w:r>
    </w:p>
  </w:endnote>
  <w:endnote w:type="continuationSeparator" w:id="1">
    <w:p w:rsidR="005A6D81" w:rsidRDefault="005A6D81" w:rsidP="005A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D81" w:rsidRDefault="005A6D81" w:rsidP="005A6D81">
      <w:r>
        <w:separator/>
      </w:r>
    </w:p>
  </w:footnote>
  <w:footnote w:type="continuationSeparator" w:id="1">
    <w:p w:rsidR="005A6D81" w:rsidRDefault="005A6D81" w:rsidP="005A6D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EA7"/>
    <w:rsid w:val="000F4D71"/>
    <w:rsid w:val="005A6D81"/>
    <w:rsid w:val="00777611"/>
    <w:rsid w:val="00E01EA7"/>
    <w:rsid w:val="00F6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9" type="connector" idref="#_x0000_s1041">
          <o:proxy start="" idref="#_x0000_s1040" connectloc="3"/>
        </o:r>
        <o:r id="V:Rule10" type="connector" idref="#_x0000_s1050"/>
        <o:r id="V:Rule11" type="connector" idref="#_x0000_s1044">
          <o:proxy start="" idref="#_x0000_s1037" connectloc="2"/>
          <o:proxy end="" idref="#_x0000_s1038" connectloc="0"/>
        </o:r>
        <o:r id="V:Rule12" type="connector" idref="#_x0000_s1049">
          <o:proxy start="" idref="#_x0000_s1029" connectloc="2"/>
          <o:proxy end="" idref="#_x0000_s1047" connectloc="0"/>
        </o:r>
        <o:r id="V:Rule13" type="connector" idref="#_x0000_s1039">
          <o:proxy start="" idref="#_x0000_s1038" connectloc="2"/>
        </o:r>
        <o:r id="V:Rule14" type="connector" idref="#_x0000_s1043">
          <o:proxy start="" idref="#_x0000_s1036" connectloc="2"/>
          <o:proxy end="" idref="#_x0000_s1038" connectloc="0"/>
        </o:r>
        <o:r id="V:Rule15" type="connector" idref="#_x0000_s1048"/>
        <o:r id="V:Rule16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6D8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6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6D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hospital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2013-09-16T05:14:00Z</dcterms:created>
  <dcterms:modified xsi:type="dcterms:W3CDTF">2013-09-16T05:32:00Z</dcterms:modified>
</cp:coreProperties>
</file>