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4B759" w14:textId="66E9D615" w:rsidR="002F57FB" w:rsidRPr="001F6ECA" w:rsidRDefault="002F57FB" w:rsidP="002F57FB">
      <w:pPr>
        <w:pStyle w:val="Heading3"/>
        <w:spacing w:after="0" w:line="480" w:lineRule="auto"/>
        <w:jc w:val="both"/>
        <w:rPr>
          <w:rFonts w:ascii="Arial" w:eastAsia="Arial" w:hAnsi="Arial" w:cs="Arial"/>
          <w:color w:val="000000" w:themeColor="text1"/>
          <w:sz w:val="24"/>
          <w:szCs w:val="24"/>
        </w:rPr>
      </w:pPr>
      <w:bookmarkStart w:id="0" w:name="_2s8eyo1" w:colFirst="0" w:colLast="0"/>
      <w:bookmarkEnd w:id="0"/>
      <w:r w:rsidRPr="001F6ECA">
        <w:rPr>
          <w:color w:val="000000" w:themeColor="text1"/>
        </w:rPr>
        <w:t xml:space="preserve">S1 </w:t>
      </w:r>
      <w:r w:rsidRPr="001F6ECA">
        <w:rPr>
          <w:color w:val="000000" w:themeColor="text1"/>
        </w:rPr>
        <w:t>Appendix. Star criteria for the (Re)usable Data Project</w:t>
      </w:r>
    </w:p>
    <w:p w14:paraId="0FBAB3B7" w14:textId="77777777" w:rsidR="002F57FB" w:rsidRPr="001F6ECA" w:rsidRDefault="002F57FB" w:rsidP="002F57FB">
      <w:pPr>
        <w:widowControl w:val="0"/>
        <w:spacing w:after="225" w:line="240" w:lineRule="auto"/>
        <w:rPr>
          <w:rFonts w:ascii="Arial" w:eastAsia="Arial" w:hAnsi="Arial" w:cs="Arial"/>
          <w:color w:val="000000" w:themeColor="text1"/>
        </w:rPr>
      </w:pPr>
      <w:r w:rsidRPr="001F6ECA">
        <w:rPr>
          <w:rFonts w:ascii="Arial" w:eastAsia="Arial" w:hAnsi="Arial" w:cs="Arial"/>
          <w:color w:val="000000" w:themeColor="text1"/>
        </w:rPr>
        <w:t>While we try to cover as much of the licensing possibilities of a data resource that we can, in a few special cases we may choose a particular "hat" to wear while evaluating to prevent a combinatorial explosion, which may also reduce the clarity of our curations for the community. In these cases, we may take on the role of a (1) non-commercial (2) academic (3) group that is (4) based in the US and trying to (5) create an aggregating resource, noting that other entities may have different results in the license commentary.</w:t>
      </w:r>
    </w:p>
    <w:p w14:paraId="088D39EB" w14:textId="77777777" w:rsidR="002F57FB" w:rsidRPr="001F6ECA" w:rsidRDefault="002F57FB" w:rsidP="002F57FB">
      <w:pPr>
        <w:pStyle w:val="Heading4"/>
        <w:keepNext w:val="0"/>
        <w:keepLines w:val="0"/>
        <w:widowControl w:val="0"/>
        <w:spacing w:before="0" w:after="240" w:line="240" w:lineRule="auto"/>
        <w:rPr>
          <w:color w:val="000000" w:themeColor="text1"/>
        </w:rPr>
      </w:pPr>
      <w:bookmarkStart w:id="1" w:name="_17dp8vu" w:colFirst="0" w:colLast="0"/>
      <w:bookmarkEnd w:id="1"/>
      <w:r w:rsidRPr="001F6ECA">
        <w:rPr>
          <w:color w:val="000000" w:themeColor="text1"/>
        </w:rPr>
        <w:t>A) License is public, discoverable, and standard</w:t>
      </w:r>
    </w:p>
    <w:p w14:paraId="2CF395F5" w14:textId="77777777" w:rsidR="002F57FB" w:rsidRPr="001F6ECA" w:rsidRDefault="002F57FB" w:rsidP="002F57FB">
      <w:pPr>
        <w:widowControl w:val="0"/>
        <w:spacing w:after="0" w:line="240" w:lineRule="auto"/>
        <w:rPr>
          <w:rFonts w:ascii="Arial" w:eastAsia="Arial" w:hAnsi="Arial" w:cs="Arial"/>
          <w:color w:val="000000" w:themeColor="text1"/>
        </w:rPr>
      </w:pPr>
      <w:r w:rsidRPr="001F6ECA">
        <w:rPr>
          <w:rFonts w:ascii="Arial" w:eastAsia="Arial" w:hAnsi="Arial" w:cs="Arial"/>
          <w:b/>
          <w:color w:val="000000" w:themeColor="text1"/>
        </w:rPr>
        <w:t>Rationale:</w:t>
      </w:r>
      <w:r w:rsidRPr="001F6ECA">
        <w:rPr>
          <w:rFonts w:ascii="Arial" w:eastAsia="Arial" w:hAnsi="Arial" w:cs="Arial"/>
          <w:color w:val="000000" w:themeColor="text1"/>
        </w:rPr>
        <w:t xml:space="preserve"> All data sources should publicly state their terms of use in an easy-to-find and unambiguous manner.</w:t>
      </w:r>
    </w:p>
    <w:p w14:paraId="17CCAA94" w14:textId="77777777" w:rsidR="002F57FB" w:rsidRPr="001F6ECA" w:rsidRDefault="002F57FB" w:rsidP="002F57FB">
      <w:pPr>
        <w:widowControl w:val="0"/>
        <w:spacing w:after="0" w:line="240" w:lineRule="auto"/>
        <w:rPr>
          <w:rFonts w:ascii="Arial" w:eastAsia="Arial" w:hAnsi="Arial" w:cs="Arial"/>
          <w:color w:val="000000" w:themeColor="text1"/>
        </w:rPr>
      </w:pPr>
    </w:p>
    <w:p w14:paraId="21B8A9B0" w14:textId="77777777" w:rsidR="002F57FB" w:rsidRPr="001F6ECA" w:rsidRDefault="002F57FB" w:rsidP="002F57FB">
      <w:pPr>
        <w:widowControl w:val="0"/>
        <w:numPr>
          <w:ilvl w:val="0"/>
          <w:numId w:val="7"/>
        </w:numPr>
        <w:spacing w:after="0" w:line="240" w:lineRule="auto"/>
        <w:ind w:left="600" w:hanging="360"/>
        <w:rPr>
          <w:color w:val="000000" w:themeColor="text1"/>
        </w:rPr>
      </w:pPr>
      <w:r w:rsidRPr="001F6ECA">
        <w:rPr>
          <w:rFonts w:ascii="Arial" w:eastAsia="Arial" w:hAnsi="Arial" w:cs="Arial"/>
          <w:b/>
          <w:color w:val="000000" w:themeColor="text1"/>
        </w:rPr>
        <w:t>A.1</w:t>
      </w:r>
      <w:r w:rsidRPr="001F6ECA">
        <w:rPr>
          <w:rFonts w:ascii="Arial" w:eastAsia="Arial" w:hAnsi="Arial" w:cs="Arial"/>
          <w:color w:val="000000" w:themeColor="text1"/>
        </w:rPr>
        <w:t xml:space="preserve">) Does the resource have a </w:t>
      </w:r>
      <w:r w:rsidRPr="001F6ECA">
        <w:rPr>
          <w:rFonts w:ascii="Arial" w:eastAsia="Arial" w:hAnsi="Arial" w:cs="Arial"/>
          <w:i/>
          <w:color w:val="000000" w:themeColor="text1"/>
        </w:rPr>
        <w:t>single</w:t>
      </w:r>
      <w:r w:rsidRPr="001F6ECA">
        <w:rPr>
          <w:rFonts w:ascii="Arial" w:eastAsia="Arial" w:hAnsi="Arial" w:cs="Arial"/>
          <w:color w:val="000000" w:themeColor="text1"/>
        </w:rPr>
        <w:t xml:space="preserve"> license?</w:t>
      </w:r>
    </w:p>
    <w:p w14:paraId="44528813" w14:textId="77777777" w:rsidR="002F57FB" w:rsidRPr="001F6ECA" w:rsidRDefault="002F57FB" w:rsidP="002F57FB">
      <w:pPr>
        <w:widowControl w:val="0"/>
        <w:numPr>
          <w:ilvl w:val="1"/>
          <w:numId w:val="14"/>
        </w:numPr>
        <w:spacing w:after="0" w:line="240" w:lineRule="auto"/>
        <w:ind w:left="1200" w:hanging="360"/>
        <w:rPr>
          <w:color w:val="000000" w:themeColor="text1"/>
        </w:rPr>
      </w:pPr>
      <w:r w:rsidRPr="001F6ECA">
        <w:rPr>
          <w:rFonts w:ascii="Arial" w:eastAsia="Arial" w:hAnsi="Arial" w:cs="Arial"/>
          <w:color w:val="000000" w:themeColor="text1"/>
        </w:rPr>
        <w:t>Does the resource’s data area itself (if applicable) have any license information?</w:t>
      </w:r>
    </w:p>
    <w:p w14:paraId="2D3B1127" w14:textId="77777777" w:rsidR="002F57FB" w:rsidRPr="001F6ECA" w:rsidRDefault="002F57FB" w:rsidP="002F57FB">
      <w:pPr>
        <w:widowControl w:val="0"/>
        <w:numPr>
          <w:ilvl w:val="2"/>
          <w:numId w:val="15"/>
        </w:numPr>
        <w:spacing w:after="0" w:line="240" w:lineRule="auto"/>
        <w:ind w:left="1800" w:hanging="360"/>
        <w:rPr>
          <w:color w:val="000000" w:themeColor="text1"/>
        </w:rPr>
      </w:pPr>
      <w:r w:rsidRPr="001F6ECA">
        <w:rPr>
          <w:rFonts w:ascii="Arial" w:eastAsia="Arial" w:hAnsi="Arial" w:cs="Arial"/>
          <w:color w:val="000000" w:themeColor="text1"/>
        </w:rPr>
        <w:t>If yes, take note of where license information is found (is discoverable).</w:t>
      </w:r>
    </w:p>
    <w:p w14:paraId="4E0DCD40" w14:textId="77777777" w:rsidR="002F57FB" w:rsidRPr="001F6ECA" w:rsidRDefault="002F57FB" w:rsidP="002F57FB">
      <w:pPr>
        <w:widowControl w:val="0"/>
        <w:numPr>
          <w:ilvl w:val="1"/>
          <w:numId w:val="14"/>
        </w:numPr>
        <w:spacing w:after="0" w:line="240" w:lineRule="auto"/>
        <w:ind w:left="1200" w:hanging="360"/>
        <w:rPr>
          <w:color w:val="000000" w:themeColor="text1"/>
        </w:rPr>
      </w:pPr>
      <w:r w:rsidRPr="001F6ECA">
        <w:rPr>
          <w:rFonts w:ascii="Arial" w:eastAsia="Arial" w:hAnsi="Arial" w:cs="Arial"/>
          <w:color w:val="000000" w:themeColor="text1"/>
        </w:rPr>
        <w:t>Does the resource’s data section have anything license-related in the footer, top-level menu, or "a</w:t>
      </w:r>
      <w:bookmarkStart w:id="2" w:name="_GoBack"/>
      <w:bookmarkEnd w:id="2"/>
      <w:r w:rsidRPr="001F6ECA">
        <w:rPr>
          <w:rFonts w:ascii="Arial" w:eastAsia="Arial" w:hAnsi="Arial" w:cs="Arial"/>
          <w:color w:val="000000" w:themeColor="text1"/>
        </w:rPr>
        <w:t>bout" page?</w:t>
      </w:r>
    </w:p>
    <w:p w14:paraId="0287E00D" w14:textId="77777777" w:rsidR="002F57FB" w:rsidRPr="001F6ECA" w:rsidRDefault="002F57FB" w:rsidP="002F57FB">
      <w:pPr>
        <w:widowControl w:val="0"/>
        <w:numPr>
          <w:ilvl w:val="2"/>
          <w:numId w:val="27"/>
        </w:numPr>
        <w:spacing w:after="0" w:line="240" w:lineRule="auto"/>
        <w:ind w:left="1800" w:hanging="360"/>
        <w:rPr>
          <w:color w:val="000000" w:themeColor="text1"/>
        </w:rPr>
      </w:pPr>
      <w:r w:rsidRPr="001F6ECA">
        <w:rPr>
          <w:rFonts w:ascii="Arial" w:eastAsia="Arial" w:hAnsi="Arial" w:cs="Arial"/>
          <w:color w:val="000000" w:themeColor="text1"/>
        </w:rPr>
        <w:t>If yes, note of where license information is found (is discoverable).</w:t>
      </w:r>
    </w:p>
    <w:p w14:paraId="31AB175C" w14:textId="77777777" w:rsidR="002F57FB" w:rsidRPr="001F6ECA" w:rsidRDefault="002F57FB" w:rsidP="002F57FB">
      <w:pPr>
        <w:widowControl w:val="0"/>
        <w:numPr>
          <w:ilvl w:val="1"/>
          <w:numId w:val="14"/>
        </w:numPr>
        <w:spacing w:after="0" w:line="240" w:lineRule="auto"/>
        <w:ind w:left="1200" w:hanging="360"/>
        <w:rPr>
          <w:color w:val="000000" w:themeColor="text1"/>
        </w:rPr>
      </w:pPr>
      <w:r w:rsidRPr="001F6ECA">
        <w:rPr>
          <w:rFonts w:ascii="Arial" w:eastAsia="Arial" w:hAnsi="Arial" w:cs="Arial"/>
          <w:color w:val="000000" w:themeColor="text1"/>
        </w:rPr>
        <w:t xml:space="preserve">Does the resource’s homepage have anything license-related in the footer, top-level menu, or ‘about’ page? Please note that while a copyright statement in the footer of the general website may satisfy </w:t>
      </w:r>
      <w:r w:rsidRPr="001F6ECA">
        <w:rPr>
          <w:rFonts w:ascii="Arial" w:eastAsia="Arial" w:hAnsi="Arial" w:cs="Arial"/>
          <w:b/>
          <w:color w:val="000000" w:themeColor="text1"/>
        </w:rPr>
        <w:t>A.1</w:t>
      </w:r>
      <w:r w:rsidRPr="001F6ECA">
        <w:rPr>
          <w:rFonts w:ascii="Arial" w:eastAsia="Arial" w:hAnsi="Arial" w:cs="Arial"/>
          <w:color w:val="000000" w:themeColor="text1"/>
        </w:rPr>
        <w:t>, there are cases where it may not actually be intended to cover the data.</w:t>
      </w:r>
    </w:p>
    <w:p w14:paraId="0BABE697" w14:textId="77777777" w:rsidR="002F57FB" w:rsidRPr="001F6ECA" w:rsidRDefault="002F57FB" w:rsidP="002F57FB">
      <w:pPr>
        <w:widowControl w:val="0"/>
        <w:numPr>
          <w:ilvl w:val="2"/>
          <w:numId w:val="16"/>
        </w:numPr>
        <w:spacing w:after="0" w:line="240" w:lineRule="auto"/>
        <w:ind w:left="1800" w:hanging="360"/>
        <w:rPr>
          <w:color w:val="000000" w:themeColor="text1"/>
        </w:rPr>
      </w:pPr>
      <w:r w:rsidRPr="001F6ECA">
        <w:rPr>
          <w:rFonts w:ascii="Arial" w:eastAsia="Arial" w:hAnsi="Arial" w:cs="Arial"/>
          <w:color w:val="000000" w:themeColor="text1"/>
        </w:rPr>
        <w:t>If yes, make note of where license information is found (is discoverable).</w:t>
      </w:r>
    </w:p>
    <w:p w14:paraId="5CB9E1E1" w14:textId="77777777" w:rsidR="002F57FB" w:rsidRPr="001F6ECA" w:rsidRDefault="002F57FB" w:rsidP="002F57FB">
      <w:pPr>
        <w:widowControl w:val="0"/>
        <w:numPr>
          <w:ilvl w:val="1"/>
          <w:numId w:val="14"/>
        </w:numPr>
        <w:spacing w:after="0" w:line="240" w:lineRule="auto"/>
        <w:ind w:left="1200" w:hanging="360"/>
        <w:rPr>
          <w:color w:val="000000" w:themeColor="text1"/>
        </w:rPr>
      </w:pPr>
      <w:r w:rsidRPr="001F6ECA">
        <w:rPr>
          <w:rFonts w:ascii="Arial" w:eastAsia="Arial" w:hAnsi="Arial" w:cs="Arial"/>
          <w:color w:val="000000" w:themeColor="text1"/>
        </w:rPr>
        <w:t>Decision point:</w:t>
      </w:r>
    </w:p>
    <w:p w14:paraId="621B6953" w14:textId="77777777" w:rsidR="002F57FB" w:rsidRPr="001F6ECA" w:rsidRDefault="002F57FB" w:rsidP="002F57FB">
      <w:pPr>
        <w:widowControl w:val="0"/>
        <w:numPr>
          <w:ilvl w:val="2"/>
          <w:numId w:val="1"/>
        </w:numPr>
        <w:spacing w:after="0" w:line="240" w:lineRule="auto"/>
        <w:ind w:left="1800" w:hanging="360"/>
        <w:rPr>
          <w:color w:val="000000" w:themeColor="text1"/>
        </w:rPr>
      </w:pPr>
      <w:r w:rsidRPr="001F6ECA">
        <w:rPr>
          <w:rFonts w:ascii="Arial Unicode MS" w:eastAsia="Arial Unicode MS" w:hAnsi="Arial Unicode MS" w:cs="Arial Unicode MS"/>
          <w:color w:val="000000" w:themeColor="text1"/>
        </w:rPr>
        <w:t xml:space="preserve">Yes, I found a single license: → </w:t>
      </w:r>
      <w:r w:rsidRPr="001F6ECA">
        <w:rPr>
          <w:rFonts w:ascii="Arial" w:eastAsia="Arial" w:hAnsi="Arial" w:cs="Arial"/>
          <w:b/>
          <w:color w:val="000000" w:themeColor="text1"/>
        </w:rPr>
        <w:t>HALF STAR</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A.2</w:t>
      </w:r>
    </w:p>
    <w:p w14:paraId="50A48744" w14:textId="77777777" w:rsidR="002F57FB" w:rsidRPr="001F6ECA" w:rsidRDefault="002F57FB" w:rsidP="002F57FB">
      <w:pPr>
        <w:widowControl w:val="0"/>
        <w:numPr>
          <w:ilvl w:val="2"/>
          <w:numId w:val="1"/>
        </w:numPr>
        <w:spacing w:after="0" w:line="240" w:lineRule="auto"/>
        <w:ind w:left="1800" w:hanging="360"/>
        <w:rPr>
          <w:color w:val="000000" w:themeColor="text1"/>
        </w:rPr>
      </w:pPr>
      <w:r w:rsidRPr="001F6ECA">
        <w:rPr>
          <w:rFonts w:ascii="Arial" w:eastAsia="Arial" w:hAnsi="Arial" w:cs="Arial"/>
          <w:b/>
          <w:color w:val="000000" w:themeColor="text1"/>
        </w:rPr>
        <w:t>A.1.1</w:t>
      </w:r>
      <w:r w:rsidRPr="001F6ECA">
        <w:rPr>
          <w:rFonts w:ascii="Arial Unicode MS" w:eastAsia="Arial Unicode MS" w:hAnsi="Arial Unicode MS" w:cs="Arial Unicode MS"/>
          <w:color w:val="000000" w:themeColor="text1"/>
        </w:rPr>
        <w:t xml:space="preserve">) No, I found multiple different licenses (i.e. conflicting licenses) and the data cannot be broken easily into multiple individual resources for separate evaluation; the ambiguity here will short circuit further evaluation of the license: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 xml:space="preserve">C </w:t>
      </w:r>
      <w:r w:rsidRPr="001F6ECA">
        <w:rPr>
          <w:rFonts w:ascii="Arial" w:eastAsia="Arial" w:hAnsi="Arial" w:cs="Arial"/>
          <w:b/>
          <w:i/>
          <w:color w:val="000000" w:themeColor="text1"/>
        </w:rPr>
        <w:t>and only C</w:t>
      </w:r>
      <w:r w:rsidRPr="001F6ECA">
        <w:rPr>
          <w:rFonts w:ascii="Arial" w:eastAsia="Arial" w:hAnsi="Arial" w:cs="Arial"/>
          <w:color w:val="000000" w:themeColor="text1"/>
        </w:rPr>
        <w:t xml:space="preserve">, </w:t>
      </w:r>
      <w:r w:rsidRPr="001F6ECA">
        <w:rPr>
          <w:rFonts w:ascii="Arial" w:eastAsia="Arial" w:hAnsi="Arial" w:cs="Arial"/>
          <w:i/>
          <w:color w:val="000000" w:themeColor="text1"/>
        </w:rPr>
        <w:t>no other stars can be awarded in this case</w:t>
      </w:r>
      <w:r w:rsidRPr="001F6ECA">
        <w:rPr>
          <w:rFonts w:ascii="Arial" w:eastAsia="Arial" w:hAnsi="Arial" w:cs="Arial"/>
          <w:color w:val="000000" w:themeColor="text1"/>
        </w:rPr>
        <w:t>.</w:t>
      </w:r>
    </w:p>
    <w:p w14:paraId="52E62E0B" w14:textId="77777777" w:rsidR="002F57FB" w:rsidRPr="001F6ECA" w:rsidRDefault="002F57FB" w:rsidP="002F57FB">
      <w:pPr>
        <w:widowControl w:val="0"/>
        <w:numPr>
          <w:ilvl w:val="2"/>
          <w:numId w:val="1"/>
        </w:numPr>
        <w:spacing w:after="0" w:line="240" w:lineRule="auto"/>
        <w:ind w:left="1800" w:hanging="360"/>
        <w:rPr>
          <w:color w:val="000000" w:themeColor="text1"/>
        </w:rPr>
      </w:pPr>
      <w:r w:rsidRPr="001F6ECA">
        <w:rPr>
          <w:rFonts w:ascii="Arial" w:eastAsia="Arial" w:hAnsi="Arial" w:cs="Arial"/>
          <w:b/>
          <w:color w:val="000000" w:themeColor="text1"/>
        </w:rPr>
        <w:t>A.1.2</w:t>
      </w:r>
      <w:r w:rsidRPr="001F6ECA">
        <w:rPr>
          <w:rFonts w:ascii="Arial Unicode MS" w:eastAsia="Arial Unicode MS" w:hAnsi="Arial Unicode MS" w:cs="Arial Unicode MS"/>
          <w:color w:val="000000" w:themeColor="text1"/>
        </w:rPr>
        <w:t xml:space="preserve">) No, I could not find license information in a reasonable location (i.e. license is missing); note that while technically the contents are now covered by default copyright protections in the US, the ambiguity and lack of intent will short circuit further evaluation of the license as clarification and negotiation would be needed: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 xml:space="preserve">C </w:t>
      </w:r>
      <w:r w:rsidRPr="001F6ECA">
        <w:rPr>
          <w:rFonts w:ascii="Arial" w:eastAsia="Arial" w:hAnsi="Arial" w:cs="Arial"/>
          <w:b/>
          <w:i/>
          <w:color w:val="000000" w:themeColor="text1"/>
        </w:rPr>
        <w:t>and only C</w:t>
      </w:r>
      <w:r w:rsidRPr="001F6ECA">
        <w:rPr>
          <w:rFonts w:ascii="Arial" w:eastAsia="Arial" w:hAnsi="Arial" w:cs="Arial"/>
          <w:color w:val="000000" w:themeColor="text1"/>
        </w:rPr>
        <w:t xml:space="preserve">, </w:t>
      </w:r>
      <w:r w:rsidRPr="001F6ECA">
        <w:rPr>
          <w:rFonts w:ascii="Arial" w:eastAsia="Arial" w:hAnsi="Arial" w:cs="Arial"/>
          <w:i/>
          <w:color w:val="000000" w:themeColor="text1"/>
        </w:rPr>
        <w:t>no other stars can be awarded in this case</w:t>
      </w:r>
      <w:r w:rsidRPr="001F6ECA">
        <w:rPr>
          <w:rFonts w:ascii="Arial" w:eastAsia="Arial" w:hAnsi="Arial" w:cs="Arial"/>
          <w:color w:val="000000" w:themeColor="text1"/>
        </w:rPr>
        <w:t>.</w:t>
      </w:r>
      <w:r w:rsidRPr="001F6ECA">
        <w:rPr>
          <w:rFonts w:ascii="Arial" w:eastAsia="Arial" w:hAnsi="Arial" w:cs="Arial"/>
          <w:color w:val="000000" w:themeColor="text1"/>
        </w:rPr>
        <w:br/>
      </w:r>
      <w:r w:rsidRPr="001F6ECA">
        <w:rPr>
          <w:rFonts w:ascii="Arial" w:eastAsia="Arial" w:hAnsi="Arial" w:cs="Arial"/>
          <w:color w:val="000000" w:themeColor="text1"/>
        </w:rPr>
        <w:br/>
      </w:r>
      <w:r w:rsidRPr="001F6ECA">
        <w:rPr>
          <w:rFonts w:ascii="Arial" w:eastAsia="Arial" w:hAnsi="Arial" w:cs="Arial"/>
          <w:i/>
          <w:color w:val="000000" w:themeColor="text1"/>
        </w:rPr>
        <w:t xml:space="preserve">Note: If you do NOT find a license or terms using above methods, and happen to find a license using other methods (e.g. via GitHub, Google, etc.), DO make a note of where it was found--we may expand the likely locations in the future. At this point, reasonable discoverability is key for the star, but a found license can still be used when looking at other star criteria. Also note, if </w:t>
      </w:r>
      <w:r w:rsidRPr="001F6ECA">
        <w:rPr>
          <w:rFonts w:ascii="Arial" w:eastAsia="Arial" w:hAnsi="Arial" w:cs="Arial"/>
          <w:i/>
          <w:color w:val="000000" w:themeColor="text1"/>
        </w:rPr>
        <w:lastRenderedPageBreak/>
        <w:t xml:space="preserve">you find a single license but it is internally inconsistent, this internal inconsistency is evaluated in </w:t>
      </w:r>
      <w:r w:rsidRPr="001F6ECA">
        <w:rPr>
          <w:rFonts w:ascii="Arial" w:eastAsia="Arial" w:hAnsi="Arial" w:cs="Arial"/>
          <w:b/>
          <w:i/>
          <w:color w:val="000000" w:themeColor="text1"/>
        </w:rPr>
        <w:t>B</w:t>
      </w:r>
      <w:r w:rsidRPr="001F6ECA">
        <w:rPr>
          <w:rFonts w:ascii="Arial" w:eastAsia="Arial" w:hAnsi="Arial" w:cs="Arial"/>
          <w:i/>
          <w:color w:val="000000" w:themeColor="text1"/>
        </w:rPr>
        <w:t xml:space="preserve">, not </w:t>
      </w:r>
      <w:r w:rsidRPr="001F6ECA">
        <w:rPr>
          <w:rFonts w:ascii="Arial" w:eastAsia="Arial" w:hAnsi="Arial" w:cs="Arial"/>
          <w:b/>
          <w:i/>
          <w:color w:val="000000" w:themeColor="text1"/>
        </w:rPr>
        <w:t>A</w:t>
      </w:r>
      <w:r w:rsidRPr="001F6ECA">
        <w:rPr>
          <w:rFonts w:ascii="Arial" w:eastAsia="Arial" w:hAnsi="Arial" w:cs="Arial"/>
          <w:i/>
          <w:color w:val="000000" w:themeColor="text1"/>
        </w:rPr>
        <w:t>.</w:t>
      </w:r>
    </w:p>
    <w:p w14:paraId="63813CE0" w14:textId="77777777" w:rsidR="002F57FB" w:rsidRPr="001F6ECA" w:rsidRDefault="002F57FB" w:rsidP="002F57FB">
      <w:pPr>
        <w:widowControl w:val="0"/>
        <w:numPr>
          <w:ilvl w:val="0"/>
          <w:numId w:val="7"/>
        </w:numPr>
        <w:spacing w:after="0" w:line="240" w:lineRule="auto"/>
        <w:ind w:left="600" w:hanging="360"/>
        <w:rPr>
          <w:color w:val="000000" w:themeColor="text1"/>
        </w:rPr>
      </w:pPr>
      <w:r w:rsidRPr="001F6ECA">
        <w:rPr>
          <w:rFonts w:ascii="Arial" w:eastAsia="Arial" w:hAnsi="Arial" w:cs="Arial"/>
          <w:b/>
          <w:color w:val="000000" w:themeColor="text1"/>
        </w:rPr>
        <w:t>A.2</w:t>
      </w:r>
      <w:r w:rsidRPr="001F6ECA">
        <w:rPr>
          <w:rFonts w:ascii="Arial" w:eastAsia="Arial" w:hAnsi="Arial" w:cs="Arial"/>
          <w:color w:val="000000" w:themeColor="text1"/>
        </w:rPr>
        <w:t>) Does the resource use a standard license?</w:t>
      </w:r>
    </w:p>
    <w:p w14:paraId="70095841" w14:textId="77777777" w:rsidR="002F57FB" w:rsidRPr="001F6ECA" w:rsidRDefault="002F57FB" w:rsidP="002F57FB">
      <w:pPr>
        <w:widowControl w:val="0"/>
        <w:numPr>
          <w:ilvl w:val="1"/>
          <w:numId w:val="13"/>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Yes, it is as standard license (referenced or copied with only right's holder declaration modifications from a public template), not including public domain declarations: → </w:t>
      </w:r>
      <w:r w:rsidRPr="001F6ECA">
        <w:rPr>
          <w:rFonts w:ascii="Arial" w:eastAsia="Arial" w:hAnsi="Arial" w:cs="Arial"/>
          <w:b/>
          <w:color w:val="000000" w:themeColor="text1"/>
        </w:rPr>
        <w:t>add HALF STAR to score from A.1</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B</w:t>
      </w:r>
    </w:p>
    <w:p w14:paraId="318BB19F" w14:textId="77777777" w:rsidR="002F57FB" w:rsidRPr="001F6ECA" w:rsidRDefault="002F57FB" w:rsidP="002F57FB">
      <w:pPr>
        <w:widowControl w:val="0"/>
        <w:numPr>
          <w:ilvl w:val="1"/>
          <w:numId w:val="13"/>
        </w:numPr>
        <w:spacing w:after="0" w:line="240" w:lineRule="auto"/>
        <w:ind w:left="1200" w:hanging="360"/>
        <w:rPr>
          <w:color w:val="000000" w:themeColor="text1"/>
        </w:rPr>
      </w:pPr>
      <w:r w:rsidRPr="001F6ECA">
        <w:rPr>
          <w:rFonts w:ascii="Arial" w:eastAsia="Arial" w:hAnsi="Arial" w:cs="Arial"/>
          <w:b/>
          <w:color w:val="000000" w:themeColor="text1"/>
        </w:rPr>
        <w:t>A.2.1</w:t>
      </w:r>
      <w:r w:rsidRPr="001F6ECA">
        <w:rPr>
          <w:rFonts w:ascii="Arial" w:eastAsia="Arial" w:hAnsi="Arial" w:cs="Arial"/>
          <w:color w:val="000000" w:themeColor="text1"/>
        </w:rPr>
        <w:t>) Is it a public domain declaration? The public domain is a legal concept in many jurisdictions, including the US, rather than a license. While a public domain declaration may work well in some cases, often has very good intent, and could be considered a "standard", ambiguities, the need for legal clarification, and international portability issues make it problematic for our purposes versus a more standard licensing statement. Please see discussions at the Creative Commons and Stanford University Libraries</w:t>
      </w:r>
      <w:r w:rsidRPr="001F6ECA">
        <w:rPr>
          <w:rFonts w:ascii="Arial Unicode MS" w:eastAsia="Arial Unicode MS" w:hAnsi="Arial Unicode MS" w:cs="Arial Unicode MS"/>
          <w:color w:val="000000" w:themeColor="text1"/>
        </w:rPr>
        <w:t xml:space="preserve"> for more background. If yes: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B</w:t>
      </w:r>
    </w:p>
    <w:p w14:paraId="5729EBEA" w14:textId="77777777" w:rsidR="002F57FB" w:rsidRPr="001F6ECA" w:rsidRDefault="002F57FB" w:rsidP="002F57FB">
      <w:pPr>
        <w:widowControl w:val="0"/>
        <w:numPr>
          <w:ilvl w:val="1"/>
          <w:numId w:val="13"/>
        </w:numPr>
        <w:spacing w:after="0" w:line="240" w:lineRule="auto"/>
        <w:ind w:left="1200" w:hanging="360"/>
        <w:rPr>
          <w:color w:val="000000" w:themeColor="text1"/>
        </w:rPr>
      </w:pPr>
      <w:r w:rsidRPr="001F6ECA">
        <w:rPr>
          <w:rFonts w:ascii="Arial" w:eastAsia="Arial" w:hAnsi="Arial" w:cs="Arial"/>
          <w:b/>
          <w:color w:val="000000" w:themeColor="text1"/>
        </w:rPr>
        <w:t>A.2.2</w:t>
      </w:r>
      <w:r w:rsidRPr="001F6ECA">
        <w:rPr>
          <w:rFonts w:ascii="Arial Unicode MS" w:eastAsia="Arial Unicode MS" w:hAnsi="Arial Unicode MS" w:cs="Arial Unicode MS"/>
          <w:color w:val="000000" w:themeColor="text1"/>
        </w:rPr>
        <w:t xml:space="preserve">) No, it is a custom or non-standard license: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B</w:t>
      </w:r>
    </w:p>
    <w:p w14:paraId="7E4C50F6" w14:textId="77777777" w:rsidR="002F57FB" w:rsidRPr="001F6ECA" w:rsidRDefault="002F57FB" w:rsidP="002F57FB">
      <w:pPr>
        <w:widowControl w:val="0"/>
        <w:numPr>
          <w:ilvl w:val="0"/>
          <w:numId w:val="7"/>
        </w:numPr>
        <w:spacing w:after="0" w:line="240" w:lineRule="auto"/>
        <w:ind w:left="600" w:hanging="360"/>
        <w:rPr>
          <w:color w:val="000000" w:themeColor="text1"/>
        </w:rPr>
      </w:pPr>
      <w:r w:rsidRPr="001F6ECA">
        <w:rPr>
          <w:rFonts w:ascii="Arial" w:eastAsia="Arial" w:hAnsi="Arial" w:cs="Arial"/>
          <w:color w:val="000000" w:themeColor="text1"/>
        </w:rPr>
        <w:t>Example list of standard licenses; also see license type discussion:</w:t>
      </w:r>
    </w:p>
    <w:p w14:paraId="50CAEF38" w14:textId="77777777" w:rsidR="002F57FB" w:rsidRPr="001F6ECA" w:rsidRDefault="002F57FB" w:rsidP="002F57FB">
      <w:pPr>
        <w:widowControl w:val="0"/>
        <w:numPr>
          <w:ilvl w:val="1"/>
          <w:numId w:val="25"/>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Public domain declaration → No, see </w:t>
      </w:r>
      <w:r w:rsidRPr="001F6ECA">
        <w:rPr>
          <w:rFonts w:ascii="Arial" w:eastAsia="Arial" w:hAnsi="Arial" w:cs="Arial"/>
          <w:color w:val="000000" w:themeColor="text1"/>
        </w:rPr>
        <w:t>discussion</w:t>
      </w:r>
    </w:p>
    <w:p w14:paraId="144808F2" w14:textId="77777777" w:rsidR="002F57FB" w:rsidRPr="001F6ECA" w:rsidRDefault="002F57FB" w:rsidP="002F57FB">
      <w:pPr>
        <w:widowControl w:val="0"/>
        <w:numPr>
          <w:ilvl w:val="1"/>
          <w:numId w:val="25"/>
        </w:numPr>
        <w:spacing w:after="0" w:line="240" w:lineRule="auto"/>
        <w:ind w:left="1200" w:hanging="360"/>
        <w:rPr>
          <w:color w:val="000000" w:themeColor="text1"/>
        </w:rPr>
      </w:pPr>
      <w:r w:rsidRPr="001F6ECA">
        <w:rPr>
          <w:rFonts w:ascii="Arial" w:eastAsia="Arial" w:hAnsi="Arial" w:cs="Arial"/>
          <w:color w:val="000000" w:themeColor="text1"/>
        </w:rPr>
        <w:t>Any Creative Commons license</w:t>
      </w:r>
      <w:r w:rsidRPr="001F6ECA">
        <w:rPr>
          <w:rFonts w:ascii="Arial Unicode MS" w:eastAsia="Arial Unicode MS" w:hAnsi="Arial Unicode MS" w:cs="Arial Unicode MS"/>
          <w:color w:val="000000" w:themeColor="text1"/>
        </w:rPr>
        <w:t xml:space="preserve"> → Yes</w:t>
      </w:r>
    </w:p>
    <w:p w14:paraId="2A8BD7F9" w14:textId="77777777" w:rsidR="002F57FB" w:rsidRPr="001F6ECA" w:rsidRDefault="002F57FB" w:rsidP="002F57FB">
      <w:pPr>
        <w:widowControl w:val="0"/>
        <w:numPr>
          <w:ilvl w:val="1"/>
          <w:numId w:val="25"/>
        </w:numPr>
        <w:spacing w:after="0" w:line="240" w:lineRule="auto"/>
        <w:ind w:left="1200" w:hanging="360"/>
        <w:rPr>
          <w:color w:val="000000" w:themeColor="text1"/>
        </w:rPr>
      </w:pPr>
      <w:r w:rsidRPr="001F6ECA">
        <w:rPr>
          <w:rFonts w:ascii="Arial" w:eastAsia="Arial" w:hAnsi="Arial" w:cs="Arial"/>
          <w:color w:val="000000" w:themeColor="text1"/>
        </w:rPr>
        <w:t>Any GNU software or documentation license</w:t>
      </w:r>
      <w:r w:rsidRPr="001F6ECA">
        <w:rPr>
          <w:rFonts w:ascii="Arial Unicode MS" w:eastAsia="Arial Unicode MS" w:hAnsi="Arial Unicode MS" w:cs="Arial Unicode MS"/>
          <w:color w:val="000000" w:themeColor="text1"/>
        </w:rPr>
        <w:t xml:space="preserve"> → Yes, note software license</w:t>
      </w:r>
    </w:p>
    <w:p w14:paraId="51E93DCD" w14:textId="77777777" w:rsidR="002F57FB" w:rsidRPr="001F6ECA" w:rsidRDefault="002F57FB" w:rsidP="002F57FB">
      <w:pPr>
        <w:widowControl w:val="0"/>
        <w:numPr>
          <w:ilvl w:val="1"/>
          <w:numId w:val="25"/>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Any BSD or MIT type licenses → Yes, note software license</w:t>
      </w:r>
    </w:p>
    <w:p w14:paraId="7BF4D336" w14:textId="77777777" w:rsidR="002F57FB" w:rsidRPr="001F6ECA" w:rsidRDefault="002F57FB" w:rsidP="002F57FB">
      <w:pPr>
        <w:widowControl w:val="0"/>
        <w:numPr>
          <w:ilvl w:val="1"/>
          <w:numId w:val="25"/>
        </w:numPr>
        <w:spacing w:after="0" w:line="240" w:lineRule="auto"/>
        <w:ind w:left="1200" w:hanging="360"/>
        <w:rPr>
          <w:color w:val="000000" w:themeColor="text1"/>
        </w:rPr>
      </w:pPr>
      <w:r w:rsidRPr="001F6ECA">
        <w:rPr>
          <w:rFonts w:ascii="Arial" w:eastAsia="Arial" w:hAnsi="Arial" w:cs="Arial"/>
          <w:color w:val="000000" w:themeColor="text1"/>
        </w:rPr>
        <w:t>Open Database license</w:t>
      </w:r>
      <w:r w:rsidRPr="001F6ECA">
        <w:rPr>
          <w:rFonts w:ascii="Arial Unicode MS" w:eastAsia="Arial Unicode MS" w:hAnsi="Arial Unicode MS" w:cs="Arial Unicode MS"/>
          <w:color w:val="000000" w:themeColor="text1"/>
        </w:rPr>
        <w:t xml:space="preserve"> → Yes</w:t>
      </w:r>
    </w:p>
    <w:p w14:paraId="7A57B47A" w14:textId="77777777" w:rsidR="002F57FB" w:rsidRPr="001F6ECA" w:rsidRDefault="002F57FB" w:rsidP="002F57FB">
      <w:pPr>
        <w:pStyle w:val="Heading4"/>
        <w:keepNext w:val="0"/>
        <w:keepLines w:val="0"/>
        <w:widowControl w:val="0"/>
        <w:spacing w:after="240" w:line="240" w:lineRule="auto"/>
        <w:rPr>
          <w:color w:val="000000" w:themeColor="text1"/>
        </w:rPr>
      </w:pPr>
      <w:bookmarkStart w:id="3" w:name="_3rdcrjn" w:colFirst="0" w:colLast="0"/>
      <w:bookmarkEnd w:id="3"/>
      <w:r w:rsidRPr="001F6ECA">
        <w:rPr>
          <w:color w:val="000000" w:themeColor="text1"/>
        </w:rPr>
        <w:t>B) License requires no further negotiation and its scope is both unambiguous and covers all of the data</w:t>
      </w:r>
    </w:p>
    <w:p w14:paraId="11B3A1E3" w14:textId="77777777" w:rsidR="002F57FB" w:rsidRPr="001F6ECA" w:rsidRDefault="002F57FB" w:rsidP="002F57FB">
      <w:pPr>
        <w:widowControl w:val="0"/>
        <w:spacing w:after="0" w:line="240" w:lineRule="auto"/>
        <w:rPr>
          <w:rFonts w:ascii="Arial" w:eastAsia="Arial" w:hAnsi="Arial" w:cs="Arial"/>
          <w:color w:val="000000" w:themeColor="text1"/>
        </w:rPr>
      </w:pPr>
      <w:r w:rsidRPr="001F6ECA">
        <w:rPr>
          <w:rFonts w:ascii="Arial" w:eastAsia="Arial" w:hAnsi="Arial" w:cs="Arial"/>
          <w:b/>
          <w:color w:val="000000" w:themeColor="text1"/>
        </w:rPr>
        <w:t>Rationale:</w:t>
      </w:r>
      <w:r w:rsidRPr="001F6ECA">
        <w:rPr>
          <w:rFonts w:ascii="Arial" w:eastAsia="Arial" w:hAnsi="Arial" w:cs="Arial"/>
          <w:color w:val="000000" w:themeColor="text1"/>
        </w:rPr>
        <w:t xml:space="preserve"> The licensing terms should be clear for all users without negotiation. If the license allows for non-negotiated reuse, no further legal or human actions should be needed for continuing non-negotiated use of a data resource, except to initially obtain access keys if necessary.</w:t>
      </w:r>
    </w:p>
    <w:p w14:paraId="335634CB" w14:textId="77777777" w:rsidR="002F57FB" w:rsidRPr="001F6ECA" w:rsidRDefault="002F57FB" w:rsidP="002F57FB">
      <w:pPr>
        <w:widowControl w:val="0"/>
        <w:spacing w:after="0" w:line="240" w:lineRule="auto"/>
        <w:rPr>
          <w:rFonts w:ascii="Arial" w:eastAsia="Arial" w:hAnsi="Arial" w:cs="Arial"/>
          <w:color w:val="000000" w:themeColor="text1"/>
        </w:rPr>
      </w:pPr>
    </w:p>
    <w:p w14:paraId="0D34137C" w14:textId="77777777" w:rsidR="002F57FB" w:rsidRPr="001F6ECA" w:rsidRDefault="002F57FB" w:rsidP="002F57FB">
      <w:pPr>
        <w:widowControl w:val="0"/>
        <w:numPr>
          <w:ilvl w:val="0"/>
          <w:numId w:val="9"/>
        </w:numPr>
        <w:spacing w:after="0" w:line="240" w:lineRule="auto"/>
        <w:ind w:left="600" w:hanging="360"/>
        <w:rPr>
          <w:color w:val="000000" w:themeColor="text1"/>
        </w:rPr>
      </w:pPr>
      <w:r w:rsidRPr="001F6ECA">
        <w:rPr>
          <w:rFonts w:ascii="Arial" w:eastAsia="Arial" w:hAnsi="Arial" w:cs="Arial"/>
          <w:b/>
          <w:color w:val="000000" w:themeColor="text1"/>
        </w:rPr>
        <w:t>B.1</w:t>
      </w:r>
      <w:r w:rsidRPr="001F6ECA">
        <w:rPr>
          <w:rFonts w:ascii="Arial" w:eastAsia="Arial" w:hAnsi="Arial" w:cs="Arial"/>
          <w:color w:val="000000" w:themeColor="text1"/>
        </w:rPr>
        <w:t>) Does the license clearly define the terms of continuing reuse free of any language that would require human or legal action or negotiation?</w:t>
      </w:r>
    </w:p>
    <w:p w14:paraId="21DC3751" w14:textId="77777777" w:rsidR="002F57FB" w:rsidRPr="001F6ECA" w:rsidRDefault="002F57FB" w:rsidP="002F57FB">
      <w:pPr>
        <w:widowControl w:val="0"/>
        <w:numPr>
          <w:ilvl w:val="1"/>
          <w:numId w:val="5"/>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Yes: → </w:t>
      </w:r>
      <w:r w:rsidRPr="001F6ECA">
        <w:rPr>
          <w:rFonts w:ascii="Arial" w:eastAsia="Arial" w:hAnsi="Arial" w:cs="Arial"/>
          <w:b/>
          <w:color w:val="000000" w:themeColor="text1"/>
        </w:rPr>
        <w:t>HALF STAR</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B.2</w:t>
      </w:r>
    </w:p>
    <w:p w14:paraId="1842EBE8" w14:textId="77777777" w:rsidR="002F57FB" w:rsidRPr="001F6ECA" w:rsidRDefault="002F57FB" w:rsidP="002F57FB">
      <w:pPr>
        <w:widowControl w:val="0"/>
        <w:numPr>
          <w:ilvl w:val="1"/>
          <w:numId w:val="5"/>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No: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B.2</w:t>
      </w:r>
    </w:p>
    <w:p w14:paraId="5A60CFB6" w14:textId="77777777" w:rsidR="002F57FB" w:rsidRPr="001F6ECA" w:rsidRDefault="002F57FB" w:rsidP="002F57FB">
      <w:pPr>
        <w:widowControl w:val="0"/>
        <w:numPr>
          <w:ilvl w:val="0"/>
          <w:numId w:val="9"/>
        </w:numPr>
        <w:spacing w:after="0" w:line="240" w:lineRule="auto"/>
        <w:ind w:left="600" w:hanging="360"/>
        <w:rPr>
          <w:color w:val="000000" w:themeColor="text1"/>
        </w:rPr>
      </w:pPr>
      <w:r w:rsidRPr="001F6ECA">
        <w:rPr>
          <w:rFonts w:ascii="Arial" w:eastAsia="Arial" w:hAnsi="Arial" w:cs="Arial"/>
          <w:b/>
          <w:color w:val="000000" w:themeColor="text1"/>
        </w:rPr>
        <w:t>B.2</w:t>
      </w:r>
      <w:r w:rsidRPr="001F6ECA">
        <w:rPr>
          <w:rFonts w:ascii="Arial" w:eastAsia="Arial" w:hAnsi="Arial" w:cs="Arial"/>
          <w:color w:val="000000" w:themeColor="text1"/>
        </w:rPr>
        <w:t>) Is the scoping of the license complete? To determine this, both of these criteria must be met:</w:t>
      </w:r>
    </w:p>
    <w:p w14:paraId="4F0D6E4E" w14:textId="77777777" w:rsidR="002F57FB" w:rsidRPr="001F6ECA" w:rsidRDefault="002F57FB" w:rsidP="002F57FB">
      <w:pPr>
        <w:widowControl w:val="0"/>
        <w:numPr>
          <w:ilvl w:val="1"/>
          <w:numId w:val="8"/>
        </w:numPr>
        <w:spacing w:after="0" w:line="240" w:lineRule="auto"/>
        <w:ind w:left="1200" w:hanging="360"/>
        <w:rPr>
          <w:color w:val="000000" w:themeColor="text1"/>
        </w:rPr>
      </w:pPr>
      <w:r w:rsidRPr="001F6ECA">
        <w:rPr>
          <w:rFonts w:ascii="Arial" w:eastAsia="Arial" w:hAnsi="Arial" w:cs="Arial"/>
          <w:b/>
          <w:color w:val="000000" w:themeColor="text1"/>
        </w:rPr>
        <w:t>B.2.1</w:t>
      </w:r>
      <w:r w:rsidRPr="001F6ECA">
        <w:rPr>
          <w:rFonts w:ascii="Arial" w:eastAsia="Arial" w:hAnsi="Arial" w:cs="Arial"/>
          <w:color w:val="000000" w:themeColor="text1"/>
        </w:rPr>
        <w:t>) It is comprehensive: does the license apply to all of the data?</w:t>
      </w:r>
    </w:p>
    <w:p w14:paraId="514D8379" w14:textId="77777777" w:rsidR="002F57FB" w:rsidRPr="001F6ECA" w:rsidRDefault="002F57FB" w:rsidP="002F57FB">
      <w:pPr>
        <w:widowControl w:val="0"/>
        <w:numPr>
          <w:ilvl w:val="2"/>
          <w:numId w:val="11"/>
        </w:numPr>
        <w:spacing w:after="0" w:line="240" w:lineRule="auto"/>
        <w:ind w:left="1800" w:hanging="360"/>
        <w:rPr>
          <w:color w:val="000000" w:themeColor="text1"/>
        </w:rPr>
      </w:pPr>
      <w:r w:rsidRPr="001F6ECA">
        <w:rPr>
          <w:rFonts w:ascii="Arial" w:eastAsia="Arial" w:hAnsi="Arial" w:cs="Arial"/>
          <w:color w:val="000000" w:themeColor="text1"/>
        </w:rPr>
        <w:t xml:space="preserve">Example failures include: “Except where noted…” or “Except where prohibited by the original sources” (e.g. </w:t>
      </w:r>
      <w:proofErr w:type="spellStart"/>
      <w:r w:rsidRPr="001F6ECA">
        <w:rPr>
          <w:rFonts w:ascii="Arial" w:eastAsia="Arial" w:hAnsi="Arial" w:cs="Arial"/>
          <w:color w:val="000000" w:themeColor="text1"/>
        </w:rPr>
        <w:t>ClinVar</w:t>
      </w:r>
      <w:proofErr w:type="spellEnd"/>
      <w:r w:rsidRPr="001F6ECA">
        <w:rPr>
          <w:rFonts w:ascii="Arial" w:eastAsia="Arial" w:hAnsi="Arial" w:cs="Arial"/>
          <w:color w:val="000000" w:themeColor="text1"/>
        </w:rPr>
        <w:t>, EBI, Monarch).</w:t>
      </w:r>
    </w:p>
    <w:p w14:paraId="25B98A55" w14:textId="77777777" w:rsidR="002F57FB" w:rsidRPr="001F6ECA" w:rsidRDefault="002F57FB" w:rsidP="002F57FB">
      <w:pPr>
        <w:widowControl w:val="0"/>
        <w:numPr>
          <w:ilvl w:val="1"/>
          <w:numId w:val="8"/>
        </w:numPr>
        <w:spacing w:after="0" w:line="240" w:lineRule="auto"/>
        <w:ind w:left="1200" w:hanging="360"/>
        <w:rPr>
          <w:color w:val="000000" w:themeColor="text1"/>
        </w:rPr>
      </w:pPr>
      <w:r w:rsidRPr="001F6ECA">
        <w:rPr>
          <w:rFonts w:ascii="Arial" w:eastAsia="Arial" w:hAnsi="Arial" w:cs="Arial"/>
          <w:b/>
          <w:color w:val="000000" w:themeColor="text1"/>
        </w:rPr>
        <w:t>B.2.2</w:t>
      </w:r>
      <w:r w:rsidRPr="001F6ECA">
        <w:rPr>
          <w:rFonts w:ascii="Arial" w:eastAsia="Arial" w:hAnsi="Arial" w:cs="Arial"/>
          <w:color w:val="000000" w:themeColor="text1"/>
        </w:rPr>
        <w:t xml:space="preserve">) It is differentiated: if multiple licenses apply, is it possible to obtain a singly-licensed slice? In the case that a resource holds multiple kinds of content (software, ontologies, or data) or if portions of its records are made available under different licenses, is it possible to obtain a “clean” copy of all of the work that </w:t>
      </w:r>
      <w:r w:rsidRPr="001F6ECA">
        <w:rPr>
          <w:rFonts w:ascii="Arial" w:eastAsia="Arial" w:hAnsi="Arial" w:cs="Arial"/>
          <w:i/>
          <w:color w:val="000000" w:themeColor="text1"/>
        </w:rPr>
        <w:t>can</w:t>
      </w:r>
      <w:r w:rsidRPr="001F6ECA">
        <w:rPr>
          <w:rFonts w:ascii="Arial" w:eastAsia="Arial" w:hAnsi="Arial" w:cs="Arial"/>
          <w:color w:val="000000" w:themeColor="text1"/>
        </w:rPr>
        <w:t xml:space="preserve"> be redistributed without negotiation?</w:t>
      </w:r>
    </w:p>
    <w:p w14:paraId="59FC9C65" w14:textId="77777777" w:rsidR="002F57FB" w:rsidRPr="001F6ECA" w:rsidRDefault="002F57FB" w:rsidP="002F57FB">
      <w:pPr>
        <w:widowControl w:val="0"/>
        <w:numPr>
          <w:ilvl w:val="2"/>
          <w:numId w:val="3"/>
        </w:numPr>
        <w:spacing w:after="0" w:line="240" w:lineRule="auto"/>
        <w:ind w:left="1800" w:hanging="360"/>
        <w:rPr>
          <w:color w:val="000000" w:themeColor="text1"/>
        </w:rPr>
      </w:pPr>
      <w:r w:rsidRPr="001F6ECA">
        <w:rPr>
          <w:rFonts w:ascii="Arial" w:eastAsia="Arial" w:hAnsi="Arial" w:cs="Arial"/>
          <w:color w:val="000000" w:themeColor="text1"/>
        </w:rPr>
        <w:t xml:space="preserve">Example failures would include: “a reasonable portion of the data may be </w:t>
      </w:r>
      <w:r w:rsidRPr="001F6ECA">
        <w:rPr>
          <w:rFonts w:ascii="Arial" w:eastAsia="Arial" w:hAnsi="Arial" w:cs="Arial"/>
          <w:color w:val="000000" w:themeColor="text1"/>
        </w:rPr>
        <w:lastRenderedPageBreak/>
        <w:t>downloaded and redistributed", etc.</w:t>
      </w:r>
    </w:p>
    <w:p w14:paraId="4B08AD67" w14:textId="77777777" w:rsidR="002F57FB" w:rsidRPr="001F6ECA" w:rsidRDefault="002F57FB" w:rsidP="002F57FB">
      <w:pPr>
        <w:widowControl w:val="0"/>
        <w:numPr>
          <w:ilvl w:val="1"/>
          <w:numId w:val="8"/>
        </w:numPr>
        <w:spacing w:after="0" w:line="240" w:lineRule="auto"/>
        <w:ind w:left="1200" w:hanging="360"/>
        <w:rPr>
          <w:color w:val="000000" w:themeColor="text1"/>
        </w:rPr>
      </w:pPr>
      <w:r w:rsidRPr="001F6ECA">
        <w:rPr>
          <w:rFonts w:ascii="Arial" w:eastAsia="Arial" w:hAnsi="Arial" w:cs="Arial"/>
          <w:color w:val="000000" w:themeColor="text1"/>
        </w:rPr>
        <w:t xml:space="preserve">Yes (both </w:t>
      </w:r>
      <w:r w:rsidRPr="001F6ECA">
        <w:rPr>
          <w:rFonts w:ascii="Arial" w:eastAsia="Arial" w:hAnsi="Arial" w:cs="Arial"/>
          <w:b/>
          <w:color w:val="000000" w:themeColor="text1"/>
        </w:rPr>
        <w:t>B.2.1</w:t>
      </w:r>
      <w:r w:rsidRPr="001F6ECA">
        <w:rPr>
          <w:rFonts w:ascii="Arial" w:eastAsia="Arial" w:hAnsi="Arial" w:cs="Arial"/>
          <w:color w:val="000000" w:themeColor="text1"/>
        </w:rPr>
        <w:t xml:space="preserve"> and </w:t>
      </w:r>
      <w:r w:rsidRPr="001F6ECA">
        <w:rPr>
          <w:rFonts w:ascii="Arial" w:eastAsia="Arial" w:hAnsi="Arial" w:cs="Arial"/>
          <w:b/>
          <w:color w:val="000000" w:themeColor="text1"/>
        </w:rPr>
        <w:t>B.2.2</w:t>
      </w:r>
      <w:r w:rsidRPr="001F6ECA">
        <w:rPr>
          <w:rFonts w:ascii="Arial Unicode MS" w:eastAsia="Arial Unicode MS" w:hAnsi="Arial Unicode MS" w:cs="Arial Unicode MS"/>
          <w:color w:val="000000" w:themeColor="text1"/>
        </w:rPr>
        <w:t xml:space="preserve"> criteria are met): → </w:t>
      </w:r>
      <w:r w:rsidRPr="001F6ECA">
        <w:rPr>
          <w:rFonts w:ascii="Arial" w:eastAsia="Arial" w:hAnsi="Arial" w:cs="Arial"/>
          <w:b/>
          <w:color w:val="000000" w:themeColor="text1"/>
        </w:rPr>
        <w:t>add HALF STAR to score from B.1</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C</w:t>
      </w:r>
    </w:p>
    <w:p w14:paraId="26F112AC" w14:textId="77777777" w:rsidR="002F57FB" w:rsidRPr="001F6ECA" w:rsidRDefault="002F57FB" w:rsidP="002F57FB">
      <w:pPr>
        <w:widowControl w:val="0"/>
        <w:numPr>
          <w:ilvl w:val="1"/>
          <w:numId w:val="8"/>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No (fulfills none or just one of the two B2 criteria):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C</w:t>
      </w:r>
    </w:p>
    <w:p w14:paraId="09662A8D" w14:textId="77777777" w:rsidR="002F57FB" w:rsidRPr="001F6ECA" w:rsidRDefault="002F57FB" w:rsidP="002F57FB">
      <w:pPr>
        <w:widowControl w:val="0"/>
        <w:numPr>
          <w:ilvl w:val="0"/>
          <w:numId w:val="9"/>
        </w:numPr>
        <w:spacing w:after="0" w:line="240" w:lineRule="auto"/>
        <w:ind w:left="600" w:hanging="360"/>
        <w:rPr>
          <w:color w:val="000000" w:themeColor="text1"/>
        </w:rPr>
      </w:pPr>
      <w:r w:rsidRPr="001F6ECA">
        <w:rPr>
          <w:rFonts w:ascii="Arial" w:eastAsia="Arial" w:hAnsi="Arial" w:cs="Arial"/>
          <w:color w:val="000000" w:themeColor="text1"/>
        </w:rPr>
        <w:t xml:space="preserve">Examples for </w:t>
      </w:r>
      <w:r w:rsidRPr="001F6ECA">
        <w:rPr>
          <w:rFonts w:ascii="Arial" w:eastAsia="Arial" w:hAnsi="Arial" w:cs="Arial"/>
          <w:b/>
          <w:color w:val="000000" w:themeColor="text1"/>
        </w:rPr>
        <w:t>B.1</w:t>
      </w:r>
      <w:r w:rsidRPr="001F6ECA">
        <w:rPr>
          <w:rFonts w:ascii="Arial" w:eastAsia="Arial" w:hAnsi="Arial" w:cs="Arial"/>
          <w:color w:val="000000" w:themeColor="text1"/>
        </w:rPr>
        <w:t>:</w:t>
      </w:r>
    </w:p>
    <w:p w14:paraId="2F7B2370" w14:textId="77777777" w:rsidR="002F57FB" w:rsidRPr="001F6ECA" w:rsidRDefault="002F57FB" w:rsidP="002F57FB">
      <w:pPr>
        <w:widowControl w:val="0"/>
        <w:numPr>
          <w:ilvl w:val="1"/>
          <w:numId w:val="20"/>
        </w:numPr>
        <w:spacing w:after="0" w:line="240" w:lineRule="auto"/>
        <w:ind w:left="1200" w:hanging="360"/>
        <w:rPr>
          <w:color w:val="000000" w:themeColor="text1"/>
        </w:rPr>
      </w:pPr>
      <w:r w:rsidRPr="001F6ECA">
        <w:rPr>
          <w:rFonts w:ascii="Arial" w:eastAsia="Arial" w:hAnsi="Arial" w:cs="Arial"/>
          <w:color w:val="000000" w:themeColor="text1"/>
        </w:rPr>
        <w:t xml:space="preserve">Note: requiring registration may be okay, see </w:t>
      </w:r>
      <w:r w:rsidRPr="001F6ECA">
        <w:rPr>
          <w:rFonts w:ascii="Arial" w:eastAsia="Arial" w:hAnsi="Arial" w:cs="Arial"/>
          <w:b/>
          <w:color w:val="000000" w:themeColor="text1"/>
        </w:rPr>
        <w:t>C</w:t>
      </w:r>
      <w:r w:rsidRPr="001F6ECA">
        <w:rPr>
          <w:rFonts w:ascii="Arial" w:eastAsia="Arial" w:hAnsi="Arial" w:cs="Arial"/>
          <w:color w:val="000000" w:themeColor="text1"/>
        </w:rPr>
        <w:t>.</w:t>
      </w:r>
    </w:p>
    <w:p w14:paraId="220B4CB7" w14:textId="77777777" w:rsidR="002F57FB" w:rsidRPr="001F6ECA" w:rsidRDefault="002F57FB" w:rsidP="002F57FB">
      <w:pPr>
        <w:widowControl w:val="0"/>
        <w:numPr>
          <w:ilvl w:val="1"/>
          <w:numId w:val="20"/>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License is clearly stated, but requires you to get in touch with the resource’s tech transfer office for a questionnaire → No</w:t>
      </w:r>
    </w:p>
    <w:p w14:paraId="268AD7D5" w14:textId="77777777" w:rsidR="002F57FB" w:rsidRPr="001F6ECA" w:rsidRDefault="002F57FB" w:rsidP="002F57FB">
      <w:pPr>
        <w:widowControl w:val="0"/>
        <w:numPr>
          <w:ilvl w:val="1"/>
          <w:numId w:val="20"/>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Language such as: “contact our tech transfer office at xyz@example.com for details” → No</w:t>
      </w:r>
    </w:p>
    <w:p w14:paraId="3786C791" w14:textId="77777777" w:rsidR="002F57FB" w:rsidRPr="001F6ECA" w:rsidRDefault="002F57FB" w:rsidP="002F57FB">
      <w:pPr>
        <w:widowControl w:val="0"/>
        <w:numPr>
          <w:ilvl w:val="1"/>
          <w:numId w:val="20"/>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Language that requires you to make your data available to the resource into the future outside of licensing → No</w:t>
      </w:r>
    </w:p>
    <w:p w14:paraId="48A2E090" w14:textId="77777777" w:rsidR="002F57FB" w:rsidRPr="001F6ECA" w:rsidRDefault="002F57FB" w:rsidP="002F57FB">
      <w:pPr>
        <w:widowControl w:val="0"/>
        <w:numPr>
          <w:ilvl w:val="0"/>
          <w:numId w:val="9"/>
        </w:numPr>
        <w:spacing w:after="0" w:line="240" w:lineRule="auto"/>
        <w:ind w:left="600" w:hanging="360"/>
        <w:rPr>
          <w:color w:val="000000" w:themeColor="text1"/>
        </w:rPr>
      </w:pPr>
      <w:r w:rsidRPr="001F6ECA">
        <w:rPr>
          <w:rFonts w:ascii="Arial" w:eastAsia="Arial" w:hAnsi="Arial" w:cs="Arial"/>
          <w:color w:val="000000" w:themeColor="text1"/>
        </w:rPr>
        <w:t xml:space="preserve">Examples for </w:t>
      </w:r>
      <w:r w:rsidRPr="001F6ECA">
        <w:rPr>
          <w:rFonts w:ascii="Arial" w:eastAsia="Arial" w:hAnsi="Arial" w:cs="Arial"/>
          <w:b/>
          <w:color w:val="000000" w:themeColor="text1"/>
        </w:rPr>
        <w:t>B.2</w:t>
      </w:r>
      <w:r w:rsidRPr="001F6ECA">
        <w:rPr>
          <w:rFonts w:ascii="Arial" w:eastAsia="Arial" w:hAnsi="Arial" w:cs="Arial"/>
          <w:color w:val="000000" w:themeColor="text1"/>
        </w:rPr>
        <w:t>:</w:t>
      </w:r>
    </w:p>
    <w:p w14:paraId="2B8DDAD1" w14:textId="77777777" w:rsidR="002F57FB" w:rsidRPr="001F6ECA" w:rsidRDefault="002F57FB" w:rsidP="002F57FB">
      <w:pPr>
        <w:widowControl w:val="0"/>
        <w:numPr>
          <w:ilvl w:val="1"/>
          <w:numId w:val="10"/>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License applies to partial content, (e.g. onus on user to make determination of the records to which restrictive licensing applies (e.g. </w:t>
      </w:r>
      <w:proofErr w:type="spellStart"/>
      <w:r w:rsidRPr="001F6ECA">
        <w:rPr>
          <w:rFonts w:ascii="Arial Unicode MS" w:eastAsia="Arial Unicode MS" w:hAnsi="Arial Unicode MS" w:cs="Arial Unicode MS"/>
          <w:color w:val="000000" w:themeColor="text1"/>
        </w:rPr>
        <w:t>ClinVar</w:t>
      </w:r>
      <w:proofErr w:type="spellEnd"/>
      <w:r w:rsidRPr="001F6ECA">
        <w:rPr>
          <w:rFonts w:ascii="Arial Unicode MS" w:eastAsia="Arial Unicode MS" w:hAnsi="Arial Unicode MS" w:cs="Arial Unicode MS"/>
          <w:color w:val="000000" w:themeColor="text1"/>
        </w:rPr>
        <w:t>, EBI, Monarch) → No</w:t>
      </w:r>
    </w:p>
    <w:p w14:paraId="7C1049FB" w14:textId="77777777" w:rsidR="002F57FB" w:rsidRPr="001F6ECA" w:rsidRDefault="002F57FB" w:rsidP="002F57FB">
      <w:pPr>
        <w:widowControl w:val="0"/>
        <w:numPr>
          <w:ilvl w:val="1"/>
          <w:numId w:val="10"/>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License provides allowances to a vague subset of the data (e.g. a “reasonable portion” may be redistributed) → No</w:t>
      </w:r>
    </w:p>
    <w:p w14:paraId="17F31C05" w14:textId="77777777" w:rsidR="002F57FB" w:rsidRPr="001F6ECA" w:rsidRDefault="002F57FB" w:rsidP="002F57FB">
      <w:pPr>
        <w:pStyle w:val="Heading4"/>
        <w:keepNext w:val="0"/>
        <w:keepLines w:val="0"/>
        <w:widowControl w:val="0"/>
        <w:spacing w:after="240" w:line="240" w:lineRule="auto"/>
        <w:rPr>
          <w:color w:val="000000" w:themeColor="text1"/>
        </w:rPr>
      </w:pPr>
      <w:bookmarkStart w:id="4" w:name="_26in1rg" w:colFirst="0" w:colLast="0"/>
      <w:bookmarkEnd w:id="4"/>
      <w:r w:rsidRPr="001F6ECA">
        <w:rPr>
          <w:color w:val="000000" w:themeColor="text1"/>
        </w:rPr>
        <w:t>C) The data covered by the license is easily accessible</w:t>
      </w:r>
    </w:p>
    <w:p w14:paraId="6486ACC7" w14:textId="77777777" w:rsidR="002F57FB" w:rsidRPr="001F6ECA" w:rsidRDefault="002F57FB" w:rsidP="002F57FB">
      <w:pPr>
        <w:widowControl w:val="0"/>
        <w:spacing w:after="0" w:line="240" w:lineRule="auto"/>
        <w:rPr>
          <w:rFonts w:ascii="Arial" w:eastAsia="Arial" w:hAnsi="Arial" w:cs="Arial"/>
          <w:color w:val="000000" w:themeColor="text1"/>
        </w:rPr>
      </w:pPr>
      <w:r w:rsidRPr="001F6ECA">
        <w:rPr>
          <w:rFonts w:ascii="Arial" w:eastAsia="Arial" w:hAnsi="Arial" w:cs="Arial"/>
          <w:b/>
          <w:color w:val="000000" w:themeColor="text1"/>
        </w:rPr>
        <w:t>Rationale:</w:t>
      </w:r>
      <w:r w:rsidRPr="001F6ECA">
        <w:rPr>
          <w:rFonts w:ascii="Arial" w:eastAsia="Arial" w:hAnsi="Arial" w:cs="Arial"/>
          <w:color w:val="000000" w:themeColor="text1"/>
        </w:rPr>
        <w:t xml:space="preserve"> License without access is almost meaningless. The data provided by a resource needs to be available to research groups in a transparent and reasonable manner. Any particular content grouping at a resource should be available in its entirety with a single action once reasonable accommodations have been made with the data provider.</w:t>
      </w:r>
    </w:p>
    <w:p w14:paraId="1D9F3AA4" w14:textId="77777777" w:rsidR="002F57FB" w:rsidRPr="001F6ECA" w:rsidRDefault="002F57FB" w:rsidP="002F57FB">
      <w:pPr>
        <w:widowControl w:val="0"/>
        <w:spacing w:after="0" w:line="240" w:lineRule="auto"/>
        <w:rPr>
          <w:rFonts w:ascii="Arial" w:eastAsia="Arial" w:hAnsi="Arial" w:cs="Arial"/>
          <w:color w:val="000000" w:themeColor="text1"/>
        </w:rPr>
      </w:pPr>
    </w:p>
    <w:p w14:paraId="00997216" w14:textId="77777777" w:rsidR="002F57FB" w:rsidRPr="001F6ECA" w:rsidRDefault="002F57FB" w:rsidP="002F57FB">
      <w:pPr>
        <w:widowControl w:val="0"/>
        <w:numPr>
          <w:ilvl w:val="0"/>
          <w:numId w:val="18"/>
        </w:numPr>
        <w:spacing w:after="0" w:line="240" w:lineRule="auto"/>
        <w:ind w:left="600" w:hanging="360"/>
        <w:rPr>
          <w:color w:val="000000" w:themeColor="text1"/>
        </w:rPr>
      </w:pPr>
      <w:r w:rsidRPr="001F6ECA">
        <w:rPr>
          <w:rFonts w:ascii="Arial" w:eastAsia="Arial" w:hAnsi="Arial" w:cs="Arial"/>
          <w:b/>
          <w:color w:val="000000" w:themeColor="text1"/>
        </w:rPr>
        <w:t>C.1</w:t>
      </w:r>
      <w:r w:rsidRPr="001F6ECA">
        <w:rPr>
          <w:rFonts w:ascii="Arial" w:eastAsia="Arial" w:hAnsi="Arial" w:cs="Arial"/>
          <w:color w:val="000000" w:themeColor="text1"/>
        </w:rPr>
        <w:t>) Does the resource provide a “</w:t>
      </w:r>
      <w:proofErr w:type="gramStart"/>
      <w:r w:rsidRPr="001F6ECA">
        <w:rPr>
          <w:rFonts w:ascii="Arial" w:eastAsia="Arial" w:hAnsi="Arial" w:cs="Arial"/>
          <w:color w:val="000000" w:themeColor="text1"/>
        </w:rPr>
        <w:t>reasonable</w:t>
      </w:r>
      <w:proofErr w:type="gramEnd"/>
      <w:r w:rsidRPr="001F6ECA">
        <w:rPr>
          <w:rFonts w:ascii="Arial" w:eastAsia="Arial" w:hAnsi="Arial" w:cs="Arial"/>
          <w:color w:val="000000" w:themeColor="text1"/>
        </w:rPr>
        <w:t xml:space="preserve"> good-faith location” to access all data groupings with a single "action" (see below for examples of what may constitute an "action"), at an API endpoint or URL?</w:t>
      </w:r>
    </w:p>
    <w:p w14:paraId="19BA5491" w14:textId="77777777" w:rsidR="002F57FB" w:rsidRPr="001F6ECA" w:rsidRDefault="002F57FB" w:rsidP="002F57FB">
      <w:pPr>
        <w:widowControl w:val="0"/>
        <w:numPr>
          <w:ilvl w:val="1"/>
          <w:numId w:val="4"/>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Yes: → </w:t>
      </w:r>
      <w:r w:rsidRPr="001F6ECA">
        <w:rPr>
          <w:rFonts w:ascii="Arial" w:eastAsia="Arial" w:hAnsi="Arial" w:cs="Arial"/>
          <w:b/>
          <w:color w:val="000000" w:themeColor="text1"/>
        </w:rPr>
        <w:t>HALF STAR</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C.2</w:t>
      </w:r>
    </w:p>
    <w:p w14:paraId="1C4AF65A" w14:textId="77777777" w:rsidR="002F57FB" w:rsidRPr="001F6ECA" w:rsidRDefault="002F57FB" w:rsidP="002F57FB">
      <w:pPr>
        <w:widowControl w:val="0"/>
        <w:numPr>
          <w:ilvl w:val="1"/>
          <w:numId w:val="4"/>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No: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C.2</w:t>
      </w:r>
    </w:p>
    <w:p w14:paraId="02D9981A" w14:textId="77777777" w:rsidR="002F57FB" w:rsidRPr="001F6ECA" w:rsidRDefault="002F57FB" w:rsidP="002F57FB">
      <w:pPr>
        <w:widowControl w:val="0"/>
        <w:numPr>
          <w:ilvl w:val="0"/>
          <w:numId w:val="18"/>
        </w:numPr>
        <w:spacing w:after="0" w:line="240" w:lineRule="auto"/>
        <w:ind w:left="600" w:hanging="360"/>
        <w:rPr>
          <w:color w:val="000000" w:themeColor="text1"/>
        </w:rPr>
      </w:pPr>
      <w:r w:rsidRPr="001F6ECA">
        <w:rPr>
          <w:rFonts w:ascii="Arial" w:eastAsia="Arial" w:hAnsi="Arial" w:cs="Arial"/>
          <w:b/>
          <w:color w:val="000000" w:themeColor="text1"/>
        </w:rPr>
        <w:t>C.2</w:t>
      </w:r>
      <w:r w:rsidRPr="001F6ECA">
        <w:rPr>
          <w:rFonts w:ascii="Arial" w:eastAsia="Arial" w:hAnsi="Arial" w:cs="Arial"/>
          <w:color w:val="000000" w:themeColor="text1"/>
        </w:rPr>
        <w:t>) Does the resource provide a “reasonable and transparent” method of obtaining access to all APIs or URLs outlined above?</w:t>
      </w:r>
    </w:p>
    <w:p w14:paraId="70ACDE85" w14:textId="77777777" w:rsidR="002F57FB" w:rsidRPr="001F6ECA" w:rsidRDefault="002F57FB" w:rsidP="002F57FB">
      <w:pPr>
        <w:widowControl w:val="0"/>
        <w:numPr>
          <w:ilvl w:val="1"/>
          <w:numId w:val="2"/>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Yes: → </w:t>
      </w:r>
      <w:r w:rsidRPr="001F6ECA">
        <w:rPr>
          <w:rFonts w:ascii="Arial" w:eastAsia="Arial" w:hAnsi="Arial" w:cs="Arial"/>
          <w:b/>
          <w:color w:val="000000" w:themeColor="text1"/>
        </w:rPr>
        <w:t>add HALF STAR to score from C.1</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D</w:t>
      </w:r>
    </w:p>
    <w:p w14:paraId="32E177F0" w14:textId="77777777" w:rsidR="002F57FB" w:rsidRPr="001F6ECA" w:rsidRDefault="002F57FB" w:rsidP="002F57FB">
      <w:pPr>
        <w:widowControl w:val="0"/>
        <w:numPr>
          <w:ilvl w:val="1"/>
          <w:numId w:val="2"/>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 xml:space="preserve">No: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D</w:t>
      </w:r>
    </w:p>
    <w:p w14:paraId="0EC2FC72" w14:textId="77777777" w:rsidR="002F57FB" w:rsidRPr="001F6ECA" w:rsidRDefault="002F57FB" w:rsidP="002F57FB">
      <w:pPr>
        <w:widowControl w:val="0"/>
        <w:numPr>
          <w:ilvl w:val="0"/>
          <w:numId w:val="18"/>
        </w:numPr>
        <w:spacing w:after="0" w:line="240" w:lineRule="auto"/>
        <w:ind w:left="600" w:hanging="360"/>
        <w:rPr>
          <w:color w:val="000000" w:themeColor="text1"/>
        </w:rPr>
      </w:pPr>
      <w:r w:rsidRPr="001F6ECA">
        <w:rPr>
          <w:rFonts w:ascii="Arial" w:eastAsia="Arial" w:hAnsi="Arial" w:cs="Arial"/>
          <w:color w:val="000000" w:themeColor="text1"/>
        </w:rPr>
        <w:t>Examples “</w:t>
      </w:r>
      <w:proofErr w:type="gramStart"/>
      <w:r w:rsidRPr="001F6ECA">
        <w:rPr>
          <w:rFonts w:ascii="Arial" w:eastAsia="Arial" w:hAnsi="Arial" w:cs="Arial"/>
          <w:color w:val="000000" w:themeColor="text1"/>
        </w:rPr>
        <w:t>reasonable</w:t>
      </w:r>
      <w:proofErr w:type="gramEnd"/>
      <w:r w:rsidRPr="001F6ECA">
        <w:rPr>
          <w:rFonts w:ascii="Arial" w:eastAsia="Arial" w:hAnsi="Arial" w:cs="Arial"/>
          <w:color w:val="000000" w:themeColor="text1"/>
        </w:rPr>
        <w:t xml:space="preserve"> good-faith location” for data access:</w:t>
      </w:r>
    </w:p>
    <w:p w14:paraId="695B551D" w14:textId="77777777" w:rsidR="002F57FB" w:rsidRPr="001F6ECA" w:rsidRDefault="002F57FB" w:rsidP="002F57FB">
      <w:pPr>
        <w:widowControl w:val="0"/>
        <w:numPr>
          <w:ilvl w:val="1"/>
          <w:numId w:val="21"/>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URL access over HTTP of entire data set → Yes</w:t>
      </w:r>
    </w:p>
    <w:p w14:paraId="6FDD201C" w14:textId="77777777" w:rsidR="002F57FB" w:rsidRPr="001F6ECA" w:rsidRDefault="002F57FB" w:rsidP="002F57FB">
      <w:pPr>
        <w:widowControl w:val="0"/>
        <w:numPr>
          <w:ilvl w:val="1"/>
          <w:numId w:val="21"/>
        </w:numPr>
        <w:spacing w:after="0" w:line="240" w:lineRule="auto"/>
        <w:ind w:left="1200" w:hanging="360"/>
        <w:rPr>
          <w:color w:val="000000" w:themeColor="text1"/>
        </w:rPr>
      </w:pPr>
      <w:proofErr w:type="spellStart"/>
      <w:r w:rsidRPr="001F6ECA">
        <w:rPr>
          <w:rFonts w:ascii="Arial Unicode MS" w:eastAsia="Arial Unicode MS" w:hAnsi="Arial Unicode MS" w:cs="Arial Unicode MS"/>
          <w:color w:val="000000" w:themeColor="text1"/>
        </w:rPr>
        <w:t>Dumpable</w:t>
      </w:r>
      <w:proofErr w:type="spellEnd"/>
      <w:r w:rsidRPr="001F6ECA">
        <w:rPr>
          <w:rFonts w:ascii="Arial Unicode MS" w:eastAsia="Arial Unicode MS" w:hAnsi="Arial Unicode MS" w:cs="Arial Unicode MS"/>
          <w:color w:val="000000" w:themeColor="text1"/>
        </w:rPr>
        <w:t xml:space="preserve"> access over API endpoint (e.g. SPARQL dump) → Yes</w:t>
      </w:r>
    </w:p>
    <w:p w14:paraId="1125C591" w14:textId="77777777" w:rsidR="002F57FB" w:rsidRPr="001F6ECA" w:rsidRDefault="002F57FB" w:rsidP="002F57FB">
      <w:pPr>
        <w:widowControl w:val="0"/>
        <w:numPr>
          <w:ilvl w:val="1"/>
          <w:numId w:val="21"/>
        </w:numPr>
        <w:spacing w:after="0" w:line="240" w:lineRule="auto"/>
        <w:ind w:left="1200" w:hanging="360"/>
        <w:rPr>
          <w:color w:val="000000" w:themeColor="text1"/>
        </w:rPr>
      </w:pPr>
      <w:r w:rsidRPr="001F6ECA">
        <w:rPr>
          <w:rFonts w:ascii="Arial" w:eastAsia="Arial" w:hAnsi="Arial" w:cs="Arial"/>
          <w:color w:val="000000" w:themeColor="text1"/>
        </w:rPr>
        <w:t xml:space="preserve">A page with a </w:t>
      </w:r>
      <w:r w:rsidRPr="001F6ECA">
        <w:rPr>
          <w:rFonts w:ascii="Arial" w:eastAsia="Arial" w:hAnsi="Arial" w:cs="Arial"/>
          <w:i/>
          <w:color w:val="000000" w:themeColor="text1"/>
        </w:rPr>
        <w:t>small</w:t>
      </w:r>
      <w:r w:rsidRPr="001F6ECA">
        <w:rPr>
          <w:rFonts w:ascii="Arial Unicode MS" w:eastAsia="Arial Unicode MS" w:hAnsi="Arial Unicode MS" w:cs="Arial Unicode MS"/>
          <w:color w:val="000000" w:themeColor="text1"/>
        </w:rPr>
        <w:t xml:space="preserve"> set of download links for data that will not change in the future → Yes</w:t>
      </w:r>
    </w:p>
    <w:p w14:paraId="7118F4A9" w14:textId="77777777" w:rsidR="002F57FB" w:rsidRPr="001F6ECA" w:rsidRDefault="002F57FB" w:rsidP="002F57FB">
      <w:pPr>
        <w:widowControl w:val="0"/>
        <w:numPr>
          <w:ilvl w:val="1"/>
          <w:numId w:val="21"/>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lastRenderedPageBreak/>
        <w:t>A site where one could easily write a script to scrape the data files in a structured way without cooperation → Yes</w:t>
      </w:r>
    </w:p>
    <w:p w14:paraId="656EDEF2" w14:textId="77777777" w:rsidR="002F57FB" w:rsidRPr="001F6ECA" w:rsidRDefault="002F57FB" w:rsidP="002F57FB">
      <w:pPr>
        <w:widowControl w:val="0"/>
        <w:numPr>
          <w:ilvl w:val="1"/>
          <w:numId w:val="21"/>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Set of HTML-only linked pages with data embedded → No</w:t>
      </w:r>
    </w:p>
    <w:p w14:paraId="696BC4F3" w14:textId="77777777" w:rsidR="002F57FB" w:rsidRPr="001F6ECA" w:rsidRDefault="002F57FB" w:rsidP="002F57FB">
      <w:pPr>
        <w:widowControl w:val="0"/>
        <w:numPr>
          <w:ilvl w:val="0"/>
          <w:numId w:val="18"/>
        </w:numPr>
        <w:spacing w:after="0" w:line="240" w:lineRule="auto"/>
        <w:ind w:left="600" w:hanging="360"/>
        <w:rPr>
          <w:color w:val="000000" w:themeColor="text1"/>
        </w:rPr>
      </w:pPr>
      <w:r w:rsidRPr="001F6ECA">
        <w:rPr>
          <w:rFonts w:ascii="Arial" w:eastAsia="Arial" w:hAnsi="Arial" w:cs="Arial"/>
          <w:color w:val="000000" w:themeColor="text1"/>
        </w:rPr>
        <w:t>Examples of “reasonable and transparent” access methods:</w:t>
      </w:r>
    </w:p>
    <w:p w14:paraId="666F92B7" w14:textId="77777777" w:rsidR="002F57FB" w:rsidRPr="001F6ECA" w:rsidRDefault="002F57FB" w:rsidP="002F57FB">
      <w:pPr>
        <w:widowControl w:val="0"/>
        <w:numPr>
          <w:ilvl w:val="1"/>
          <w:numId w:val="28"/>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Unprotected HTTP/S access for an API or downloads → Yes</w:t>
      </w:r>
    </w:p>
    <w:p w14:paraId="615C5AA8" w14:textId="77777777" w:rsidR="002F57FB" w:rsidRPr="001F6ECA" w:rsidRDefault="002F57FB" w:rsidP="002F57FB">
      <w:pPr>
        <w:widowControl w:val="0"/>
        <w:numPr>
          <w:ilvl w:val="1"/>
          <w:numId w:val="28"/>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Access by API key for analytics → Yes</w:t>
      </w:r>
    </w:p>
    <w:p w14:paraId="2F0ED99E" w14:textId="77777777" w:rsidR="002F57FB" w:rsidRPr="001F6ECA" w:rsidRDefault="002F57FB" w:rsidP="002F57FB">
      <w:pPr>
        <w:widowControl w:val="0"/>
        <w:numPr>
          <w:ilvl w:val="1"/>
          <w:numId w:val="28"/>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Access by API key for access control → No</w:t>
      </w:r>
    </w:p>
    <w:p w14:paraId="67BF3C2B" w14:textId="77777777" w:rsidR="002F57FB" w:rsidRPr="001F6ECA" w:rsidRDefault="002F57FB" w:rsidP="002F57FB">
      <w:pPr>
        <w:widowControl w:val="0"/>
        <w:numPr>
          <w:ilvl w:val="1"/>
          <w:numId w:val="28"/>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Access by API key for access control, but with downloads available allowing timely complete data ingest → Yes</w:t>
      </w:r>
    </w:p>
    <w:p w14:paraId="2E74192F" w14:textId="77777777" w:rsidR="002F57FB" w:rsidRPr="001F6ECA" w:rsidRDefault="002F57FB" w:rsidP="002F57FB">
      <w:pPr>
        <w:widowControl w:val="0"/>
        <w:numPr>
          <w:ilvl w:val="1"/>
          <w:numId w:val="28"/>
        </w:numPr>
        <w:spacing w:after="0" w:line="240" w:lineRule="auto"/>
        <w:ind w:left="1200" w:hanging="360"/>
        <w:rPr>
          <w:color w:val="000000" w:themeColor="text1"/>
        </w:rPr>
      </w:pPr>
      <w:r w:rsidRPr="001F6ECA">
        <w:rPr>
          <w:rFonts w:ascii="Arial Unicode MS" w:eastAsia="Arial Unicode MS" w:hAnsi="Arial Unicode MS" w:cs="Arial Unicode MS"/>
          <w:color w:val="000000" w:themeColor="text1"/>
        </w:rPr>
        <w:t>Time/size limited access to data that functionally prevents timely complete data ingest → No</w:t>
      </w:r>
    </w:p>
    <w:p w14:paraId="36F6F891" w14:textId="77777777" w:rsidR="002F57FB" w:rsidRPr="001F6ECA" w:rsidRDefault="002F57FB" w:rsidP="002F57FB">
      <w:pPr>
        <w:pStyle w:val="Heading4"/>
        <w:keepNext w:val="0"/>
        <w:keepLines w:val="0"/>
        <w:widowControl w:val="0"/>
        <w:spacing w:after="240" w:line="240" w:lineRule="auto"/>
        <w:rPr>
          <w:color w:val="000000" w:themeColor="text1"/>
        </w:rPr>
      </w:pPr>
      <w:bookmarkStart w:id="5" w:name="_lnxbz9" w:colFirst="0" w:colLast="0"/>
      <w:bookmarkEnd w:id="5"/>
      <w:r w:rsidRPr="001F6ECA">
        <w:rPr>
          <w:color w:val="000000" w:themeColor="text1"/>
        </w:rPr>
        <w:t>D) License has little or no restrictions on kinds of (re)use</w:t>
      </w:r>
    </w:p>
    <w:p w14:paraId="3BAA9A02" w14:textId="77777777" w:rsidR="002F57FB" w:rsidRPr="001F6ECA" w:rsidRDefault="002F57FB" w:rsidP="002F57FB">
      <w:pPr>
        <w:widowControl w:val="0"/>
        <w:spacing w:after="0" w:line="240" w:lineRule="auto"/>
        <w:rPr>
          <w:rFonts w:ascii="Arial" w:eastAsia="Arial" w:hAnsi="Arial" w:cs="Arial"/>
          <w:color w:val="000000" w:themeColor="text1"/>
        </w:rPr>
      </w:pPr>
      <w:r w:rsidRPr="001F6ECA">
        <w:rPr>
          <w:rFonts w:ascii="Arial" w:eastAsia="Arial" w:hAnsi="Arial" w:cs="Arial"/>
          <w:b/>
          <w:color w:val="000000" w:themeColor="text1"/>
        </w:rPr>
        <w:t>Rationale:</w:t>
      </w:r>
      <w:r w:rsidRPr="001F6ECA">
        <w:rPr>
          <w:rFonts w:ascii="Arial" w:eastAsia="Arial" w:hAnsi="Arial" w:cs="Arial"/>
          <w:color w:val="000000" w:themeColor="text1"/>
        </w:rPr>
        <w:t xml:space="preserve"> Research groups should have the ability to legally access the data to use in their research, build upon and modify it, and publish their results. Ideally, they should be able to do so freely and without encumbrances (except possibly attribution). Forbidding certain kinds of reuse (or explicitly allowing only a narrow kind of reuse) leaves open questions about what prohibited reuse actually constitutes in practice; this determination may require legal consultation. For example, if the provider forbids "editing" the data, is it a prohibition of the license to use just a fraction of the data? Change the format? Build a tool on top of it? Translate it? Because we nevertheless want to recognize any attempt at openness, we award half stars in this category as long as there are redistribution provisions (not just copy/download).</w:t>
      </w:r>
    </w:p>
    <w:p w14:paraId="1AE31592" w14:textId="77777777" w:rsidR="002F57FB" w:rsidRPr="001F6ECA" w:rsidRDefault="002F57FB" w:rsidP="002F57FB">
      <w:pPr>
        <w:widowControl w:val="0"/>
        <w:spacing w:after="0" w:line="240" w:lineRule="auto"/>
        <w:rPr>
          <w:rFonts w:ascii="Arial" w:eastAsia="Arial" w:hAnsi="Arial" w:cs="Arial"/>
          <w:color w:val="000000" w:themeColor="text1"/>
        </w:rPr>
      </w:pPr>
    </w:p>
    <w:p w14:paraId="14BF4986" w14:textId="77777777" w:rsidR="002F57FB" w:rsidRPr="001F6ECA" w:rsidRDefault="002F57FB" w:rsidP="002F57FB">
      <w:pPr>
        <w:widowControl w:val="0"/>
        <w:numPr>
          <w:ilvl w:val="0"/>
          <w:numId w:val="23"/>
        </w:numPr>
        <w:spacing w:after="0" w:line="240" w:lineRule="auto"/>
        <w:ind w:left="600" w:hanging="360"/>
        <w:rPr>
          <w:color w:val="000000" w:themeColor="text1"/>
        </w:rPr>
      </w:pPr>
      <w:r w:rsidRPr="001F6ECA">
        <w:rPr>
          <w:rFonts w:ascii="Arial" w:eastAsia="Arial" w:hAnsi="Arial" w:cs="Arial"/>
          <w:b/>
          <w:color w:val="000000" w:themeColor="text1"/>
        </w:rPr>
        <w:t>D.1</w:t>
      </w:r>
      <w:r w:rsidRPr="001F6ECA">
        <w:rPr>
          <w:rFonts w:ascii="Arial" w:eastAsia="Arial" w:hAnsi="Arial" w:cs="Arial"/>
          <w:color w:val="000000" w:themeColor="text1"/>
        </w:rPr>
        <w:t>) Are different types of downstream reuse distinguished as allowable or as forbidden?</w:t>
      </w:r>
    </w:p>
    <w:p w14:paraId="09745819" w14:textId="77777777" w:rsidR="002F57FB" w:rsidRPr="001F6ECA" w:rsidRDefault="002F57FB" w:rsidP="002F57FB">
      <w:pPr>
        <w:widowControl w:val="0"/>
        <w:numPr>
          <w:ilvl w:val="1"/>
          <w:numId w:val="24"/>
        </w:numPr>
        <w:spacing w:after="0" w:line="240" w:lineRule="auto"/>
        <w:ind w:left="1200" w:hanging="360"/>
        <w:rPr>
          <w:color w:val="000000" w:themeColor="text1"/>
        </w:rPr>
      </w:pPr>
      <w:r w:rsidRPr="001F6ECA">
        <w:rPr>
          <w:rFonts w:ascii="Arial" w:eastAsia="Arial" w:hAnsi="Arial" w:cs="Arial"/>
          <w:color w:val="000000" w:themeColor="text1"/>
        </w:rPr>
        <w:t>No, all types of reuse are allowed without negotiation, allowing for "reasonable" attribution and redistribution restrictions (e.g. CC BY 4.0 or a similarly permissive license, see license types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ONE STAR</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E</w:t>
      </w:r>
    </w:p>
    <w:p w14:paraId="4F647652" w14:textId="77777777" w:rsidR="002F57FB" w:rsidRPr="001F6ECA" w:rsidRDefault="002F57FB" w:rsidP="002F57FB">
      <w:pPr>
        <w:widowControl w:val="0"/>
        <w:numPr>
          <w:ilvl w:val="1"/>
          <w:numId w:val="24"/>
        </w:numPr>
        <w:spacing w:after="0" w:line="240" w:lineRule="auto"/>
        <w:ind w:left="1200" w:hanging="360"/>
        <w:rPr>
          <w:color w:val="000000" w:themeColor="text1"/>
        </w:rPr>
      </w:pPr>
      <w:r w:rsidRPr="001F6ECA">
        <w:rPr>
          <w:rFonts w:ascii="Arial" w:eastAsia="Arial" w:hAnsi="Arial" w:cs="Arial"/>
          <w:color w:val="000000" w:themeColor="text1"/>
        </w:rPr>
        <w:t xml:space="preserve">Would a non-legal professional reasonably interpret the license to mean that individuals either in "research” or “non-commercial" contexts could work with the data (add to, modify, build on) and redistribute the results without negotiation </w:t>
      </w:r>
      <w:r w:rsidRPr="001F6ECA">
        <w:rPr>
          <w:rFonts w:ascii="Arial" w:eastAsia="Arial" w:hAnsi="Arial" w:cs="Arial"/>
          <w:i/>
          <w:color w:val="000000" w:themeColor="text1"/>
        </w:rPr>
        <w:t>and without requiring the remixed data to have a specific license</w:t>
      </w:r>
      <w:r w:rsidRPr="001F6ECA">
        <w:rPr>
          <w:rFonts w:ascii="Arial" w:eastAsia="Arial" w:hAnsi="Arial" w:cs="Arial"/>
          <w:color w:val="000000" w:themeColor="text1"/>
        </w:rPr>
        <w:t>?</w:t>
      </w:r>
    </w:p>
    <w:p w14:paraId="5C1C0D51" w14:textId="77777777" w:rsidR="002F57FB" w:rsidRPr="001F6ECA" w:rsidRDefault="002F57FB" w:rsidP="002F57FB">
      <w:pPr>
        <w:widowControl w:val="0"/>
        <w:numPr>
          <w:ilvl w:val="2"/>
          <w:numId w:val="26"/>
        </w:numPr>
        <w:spacing w:after="0" w:line="240" w:lineRule="auto"/>
        <w:ind w:left="1800" w:hanging="360"/>
        <w:rPr>
          <w:color w:val="000000" w:themeColor="text1"/>
        </w:rPr>
      </w:pPr>
      <w:r w:rsidRPr="001F6ECA">
        <w:rPr>
          <w:rFonts w:ascii="Arial" w:eastAsia="Arial" w:hAnsi="Arial" w:cs="Arial"/>
          <w:b/>
          <w:color w:val="000000" w:themeColor="text1"/>
        </w:rPr>
        <w:t>D.1.1</w:t>
      </w:r>
      <w:r w:rsidRPr="001F6ECA">
        <w:rPr>
          <w:rFonts w:ascii="Arial Unicode MS" w:eastAsia="Arial Unicode MS" w:hAnsi="Arial Unicode MS" w:cs="Arial Unicode MS"/>
          <w:color w:val="000000" w:themeColor="text1"/>
        </w:rPr>
        <w:t xml:space="preserve">) Yes: → </w:t>
      </w:r>
      <w:r w:rsidRPr="001F6ECA">
        <w:rPr>
          <w:rFonts w:ascii="Arial" w:eastAsia="Arial" w:hAnsi="Arial" w:cs="Arial"/>
          <w:b/>
          <w:color w:val="000000" w:themeColor="text1"/>
        </w:rPr>
        <w:t>HALF STAR</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E</w:t>
      </w:r>
    </w:p>
    <w:p w14:paraId="3B37BAFC" w14:textId="77777777" w:rsidR="002F57FB" w:rsidRPr="001F6ECA" w:rsidRDefault="002F57FB" w:rsidP="002F57FB">
      <w:pPr>
        <w:widowControl w:val="0"/>
        <w:numPr>
          <w:ilvl w:val="2"/>
          <w:numId w:val="26"/>
        </w:numPr>
        <w:spacing w:after="0" w:line="240" w:lineRule="auto"/>
        <w:ind w:left="1800" w:hanging="360"/>
        <w:rPr>
          <w:color w:val="000000" w:themeColor="text1"/>
        </w:rPr>
      </w:pPr>
      <w:r w:rsidRPr="001F6ECA">
        <w:rPr>
          <w:rFonts w:ascii="Arial" w:eastAsia="Arial" w:hAnsi="Arial" w:cs="Arial"/>
          <w:b/>
          <w:color w:val="000000" w:themeColor="text1"/>
        </w:rPr>
        <w:t>D.1.2</w:t>
      </w:r>
      <w:r w:rsidRPr="001F6ECA">
        <w:rPr>
          <w:rFonts w:ascii="Arial" w:eastAsia="Arial" w:hAnsi="Arial" w:cs="Arial"/>
          <w:color w:val="000000" w:themeColor="text1"/>
        </w:rPr>
        <w:t>) No (e.g. restrictive licenses or all rights reserved, see license types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E</w:t>
      </w:r>
    </w:p>
    <w:p w14:paraId="640D383A" w14:textId="77777777" w:rsidR="002F57FB" w:rsidRPr="001F6ECA" w:rsidRDefault="002F57FB" w:rsidP="002F57FB">
      <w:pPr>
        <w:widowControl w:val="0"/>
        <w:numPr>
          <w:ilvl w:val="0"/>
          <w:numId w:val="23"/>
        </w:numPr>
        <w:spacing w:after="0" w:line="240" w:lineRule="auto"/>
        <w:ind w:left="600" w:hanging="360"/>
        <w:rPr>
          <w:color w:val="000000" w:themeColor="text1"/>
        </w:rPr>
      </w:pPr>
      <w:r w:rsidRPr="001F6ECA">
        <w:rPr>
          <w:rFonts w:ascii="Arial" w:eastAsia="Arial" w:hAnsi="Arial" w:cs="Arial"/>
          <w:color w:val="000000" w:themeColor="text1"/>
        </w:rPr>
        <w:t>Example restrictions in use and downstream reuse:</w:t>
      </w:r>
    </w:p>
    <w:p w14:paraId="6A32EB60" w14:textId="77777777" w:rsidR="002F57FB" w:rsidRPr="001F6ECA" w:rsidRDefault="002F57FB" w:rsidP="002F57FB">
      <w:pPr>
        <w:widowControl w:val="0"/>
        <w:numPr>
          <w:ilvl w:val="1"/>
          <w:numId w:val="6"/>
        </w:numPr>
        <w:spacing w:after="0" w:line="240" w:lineRule="auto"/>
        <w:ind w:left="1200" w:hanging="360"/>
        <w:rPr>
          <w:color w:val="000000" w:themeColor="text1"/>
        </w:rPr>
      </w:pPr>
      <w:r w:rsidRPr="001F6ECA">
        <w:rPr>
          <w:rFonts w:ascii="Arial" w:eastAsia="Arial" w:hAnsi="Arial" w:cs="Arial"/>
          <w:color w:val="000000" w:themeColor="text1"/>
        </w:rPr>
        <w:t>May not be copied.</w:t>
      </w:r>
    </w:p>
    <w:p w14:paraId="3E7CA7B4" w14:textId="77777777" w:rsidR="002F57FB" w:rsidRPr="001F6ECA" w:rsidRDefault="002F57FB" w:rsidP="002F57FB">
      <w:pPr>
        <w:widowControl w:val="0"/>
        <w:numPr>
          <w:ilvl w:val="1"/>
          <w:numId w:val="6"/>
        </w:numPr>
        <w:spacing w:after="0" w:line="240" w:lineRule="auto"/>
        <w:ind w:left="1200" w:hanging="360"/>
        <w:rPr>
          <w:color w:val="000000" w:themeColor="text1"/>
        </w:rPr>
      </w:pPr>
      <w:r w:rsidRPr="001F6ECA">
        <w:rPr>
          <w:rFonts w:ascii="Arial" w:eastAsia="Arial" w:hAnsi="Arial" w:cs="Arial"/>
          <w:color w:val="000000" w:themeColor="text1"/>
        </w:rPr>
        <w:t>May not be edited (e.g. invariant text clause).</w:t>
      </w:r>
    </w:p>
    <w:p w14:paraId="4F3A7876" w14:textId="77777777" w:rsidR="002F57FB" w:rsidRPr="001F6ECA" w:rsidRDefault="002F57FB" w:rsidP="002F57FB">
      <w:pPr>
        <w:widowControl w:val="0"/>
        <w:numPr>
          <w:ilvl w:val="1"/>
          <w:numId w:val="6"/>
        </w:numPr>
        <w:spacing w:after="0" w:line="240" w:lineRule="auto"/>
        <w:ind w:left="1200" w:hanging="360"/>
        <w:rPr>
          <w:color w:val="000000" w:themeColor="text1"/>
        </w:rPr>
      </w:pPr>
      <w:r w:rsidRPr="001F6ECA">
        <w:rPr>
          <w:rFonts w:ascii="Arial" w:eastAsia="Arial" w:hAnsi="Arial" w:cs="Arial"/>
          <w:color w:val="000000" w:themeColor="text1"/>
        </w:rPr>
        <w:t>May not be built upon (e.g. "This license forbids derivative works").</w:t>
      </w:r>
    </w:p>
    <w:p w14:paraId="112C1911" w14:textId="77777777" w:rsidR="002F57FB" w:rsidRPr="001F6ECA" w:rsidRDefault="002F57FB" w:rsidP="002F57FB">
      <w:pPr>
        <w:widowControl w:val="0"/>
        <w:numPr>
          <w:ilvl w:val="1"/>
          <w:numId w:val="6"/>
        </w:numPr>
        <w:spacing w:after="0" w:line="240" w:lineRule="auto"/>
        <w:ind w:left="1200" w:hanging="360"/>
        <w:rPr>
          <w:color w:val="000000" w:themeColor="text1"/>
        </w:rPr>
      </w:pPr>
      <w:r w:rsidRPr="001F6ECA">
        <w:rPr>
          <w:rFonts w:ascii="Arial" w:eastAsia="Arial" w:hAnsi="Arial" w:cs="Arial"/>
          <w:color w:val="000000" w:themeColor="text1"/>
        </w:rPr>
        <w:t>May not be remixed (i.e. license limitations on how it can be combined with other data sets, such as in the case of the GPL).</w:t>
      </w:r>
    </w:p>
    <w:p w14:paraId="63CA5E9D" w14:textId="77777777" w:rsidR="002F57FB" w:rsidRPr="001F6ECA" w:rsidRDefault="002F57FB" w:rsidP="002F57FB">
      <w:pPr>
        <w:widowControl w:val="0"/>
        <w:numPr>
          <w:ilvl w:val="1"/>
          <w:numId w:val="6"/>
        </w:numPr>
        <w:spacing w:after="0" w:line="240" w:lineRule="auto"/>
        <w:ind w:left="1200" w:hanging="360"/>
        <w:rPr>
          <w:color w:val="000000" w:themeColor="text1"/>
        </w:rPr>
      </w:pPr>
      <w:r w:rsidRPr="001F6ECA">
        <w:rPr>
          <w:rFonts w:ascii="Arial" w:eastAsia="Arial" w:hAnsi="Arial" w:cs="Arial"/>
          <w:color w:val="000000" w:themeColor="text1"/>
        </w:rPr>
        <w:t>May not be redistributed under same terms.</w:t>
      </w:r>
    </w:p>
    <w:p w14:paraId="659CAB23" w14:textId="77777777" w:rsidR="002F57FB" w:rsidRPr="001F6ECA" w:rsidRDefault="002F57FB" w:rsidP="002F57FB">
      <w:pPr>
        <w:widowControl w:val="0"/>
        <w:numPr>
          <w:ilvl w:val="1"/>
          <w:numId w:val="6"/>
        </w:numPr>
        <w:spacing w:after="0" w:line="240" w:lineRule="auto"/>
        <w:ind w:left="1200" w:hanging="360"/>
        <w:rPr>
          <w:color w:val="000000" w:themeColor="text1"/>
        </w:rPr>
      </w:pPr>
      <w:r w:rsidRPr="001F6ECA">
        <w:rPr>
          <w:rFonts w:ascii="Arial" w:eastAsia="Arial" w:hAnsi="Arial" w:cs="Arial"/>
          <w:color w:val="000000" w:themeColor="text1"/>
        </w:rPr>
        <w:t>May be encumbered by patents.</w:t>
      </w:r>
    </w:p>
    <w:p w14:paraId="465E5274" w14:textId="77777777" w:rsidR="002F57FB" w:rsidRPr="001F6ECA" w:rsidRDefault="002F57FB" w:rsidP="002F57FB">
      <w:pPr>
        <w:widowControl w:val="0"/>
        <w:numPr>
          <w:ilvl w:val="1"/>
          <w:numId w:val="6"/>
        </w:numPr>
        <w:spacing w:after="0" w:line="240" w:lineRule="auto"/>
        <w:ind w:left="1200" w:hanging="360"/>
        <w:rPr>
          <w:color w:val="000000" w:themeColor="text1"/>
        </w:rPr>
      </w:pPr>
      <w:r w:rsidRPr="001F6ECA">
        <w:rPr>
          <w:rFonts w:ascii="Arial" w:eastAsia="Arial" w:hAnsi="Arial" w:cs="Arial"/>
          <w:color w:val="000000" w:themeColor="text1"/>
        </w:rPr>
        <w:lastRenderedPageBreak/>
        <w:t>May be revocable in some circumstance.</w:t>
      </w:r>
    </w:p>
    <w:p w14:paraId="2B8E05D5" w14:textId="77777777" w:rsidR="002F57FB" w:rsidRPr="001F6ECA" w:rsidRDefault="002F57FB" w:rsidP="002F57FB">
      <w:pPr>
        <w:widowControl w:val="0"/>
        <w:numPr>
          <w:ilvl w:val="1"/>
          <w:numId w:val="6"/>
        </w:numPr>
        <w:spacing w:after="0" w:line="240" w:lineRule="auto"/>
        <w:ind w:left="1200" w:hanging="360"/>
        <w:rPr>
          <w:color w:val="000000" w:themeColor="text1"/>
        </w:rPr>
      </w:pPr>
      <w:r w:rsidRPr="001F6ECA">
        <w:rPr>
          <w:rFonts w:ascii="Arial" w:eastAsia="Arial" w:hAnsi="Arial" w:cs="Arial"/>
          <w:color w:val="000000" w:themeColor="text1"/>
        </w:rPr>
        <w:t>May be under an embargo until some date or event.</w:t>
      </w:r>
    </w:p>
    <w:p w14:paraId="0282801E" w14:textId="77777777" w:rsidR="002F57FB" w:rsidRPr="001F6ECA" w:rsidRDefault="002F57FB" w:rsidP="002F57FB">
      <w:pPr>
        <w:widowControl w:val="0"/>
        <w:numPr>
          <w:ilvl w:val="1"/>
          <w:numId w:val="6"/>
        </w:numPr>
        <w:spacing w:after="0" w:line="240" w:lineRule="auto"/>
        <w:ind w:left="1200" w:hanging="360"/>
        <w:rPr>
          <w:color w:val="000000" w:themeColor="text1"/>
        </w:rPr>
      </w:pPr>
      <w:r w:rsidRPr="001F6ECA">
        <w:rPr>
          <w:rFonts w:ascii="Arial" w:eastAsia="Arial" w:hAnsi="Arial" w:cs="Arial"/>
          <w:color w:val="000000" w:themeColor="text1"/>
        </w:rPr>
        <w:t xml:space="preserve">Note that while "personal use only" arguably prohibits many of the above, this is considered separately in </w:t>
      </w:r>
      <w:r w:rsidRPr="001F6ECA">
        <w:rPr>
          <w:rFonts w:ascii="Arial" w:eastAsia="Arial" w:hAnsi="Arial" w:cs="Arial"/>
          <w:b/>
          <w:color w:val="000000" w:themeColor="text1"/>
        </w:rPr>
        <w:t>E</w:t>
      </w:r>
      <w:r w:rsidRPr="001F6ECA">
        <w:rPr>
          <w:rFonts w:ascii="Arial" w:eastAsia="Arial" w:hAnsi="Arial" w:cs="Arial"/>
          <w:color w:val="000000" w:themeColor="text1"/>
        </w:rPr>
        <w:t xml:space="preserve"> as a function of user, rather than use.</w:t>
      </w:r>
    </w:p>
    <w:p w14:paraId="6379BA2A" w14:textId="77777777" w:rsidR="002F57FB" w:rsidRPr="001F6ECA" w:rsidRDefault="002F57FB" w:rsidP="002F57FB">
      <w:pPr>
        <w:pStyle w:val="Heading4"/>
        <w:keepNext w:val="0"/>
        <w:keepLines w:val="0"/>
        <w:widowControl w:val="0"/>
        <w:spacing w:after="240" w:line="240" w:lineRule="auto"/>
        <w:rPr>
          <w:color w:val="000000" w:themeColor="text1"/>
        </w:rPr>
      </w:pPr>
      <w:bookmarkStart w:id="6" w:name="_35nkun2" w:colFirst="0" w:colLast="0"/>
      <w:bookmarkEnd w:id="6"/>
      <w:r w:rsidRPr="001F6ECA">
        <w:rPr>
          <w:color w:val="000000" w:themeColor="text1"/>
        </w:rPr>
        <w:t>E) License has little or no restrictions on who can (re)use the data</w:t>
      </w:r>
    </w:p>
    <w:p w14:paraId="4FE7D119" w14:textId="77777777" w:rsidR="002F57FB" w:rsidRPr="001F6ECA" w:rsidRDefault="002F57FB" w:rsidP="002F57FB">
      <w:pPr>
        <w:widowControl w:val="0"/>
        <w:spacing w:after="0" w:line="240" w:lineRule="auto"/>
        <w:rPr>
          <w:rFonts w:ascii="Arial" w:eastAsia="Arial" w:hAnsi="Arial" w:cs="Arial"/>
          <w:color w:val="000000" w:themeColor="text1"/>
        </w:rPr>
      </w:pPr>
      <w:r w:rsidRPr="001F6ECA">
        <w:rPr>
          <w:rFonts w:ascii="Arial" w:eastAsia="Arial" w:hAnsi="Arial" w:cs="Arial"/>
          <w:b/>
          <w:color w:val="000000" w:themeColor="text1"/>
        </w:rPr>
        <w:t>Rationale:</w:t>
      </w:r>
      <w:r w:rsidRPr="001F6ECA">
        <w:rPr>
          <w:rFonts w:ascii="Arial" w:eastAsia="Arial" w:hAnsi="Arial" w:cs="Arial"/>
          <w:color w:val="000000" w:themeColor="text1"/>
        </w:rPr>
        <w:t xml:space="preserve"> When research groups build on and modify data resources, they should be able to make these new products available for redistribution to other researchers in some unencumbered way, giving them the same opportunities to do the same. Ideally, they should be able to pass on their work freely and redistribute it to any party without restriction. Forbidding certain kinds of people or institutions (or explicitly allowing only a narrow definition of such) leaves open questions about what this means; this determination may require legal consultation. For example, if a license forbids commercial use, it may also prohibit remixing, redistribution, or cost recovery by not-for-profit companies. Because we nevertheless want to recognize any attempt at openness, we award half stars in this category as long as there are redistribution provisions that amount to more than "personal use", which is not clear as to whether it permits sharing/remixing within a research group for academic purposes.</w:t>
      </w:r>
    </w:p>
    <w:p w14:paraId="0B4D95E2" w14:textId="77777777" w:rsidR="002F57FB" w:rsidRPr="001F6ECA" w:rsidRDefault="002F57FB" w:rsidP="002F57FB">
      <w:pPr>
        <w:widowControl w:val="0"/>
        <w:spacing w:after="0" w:line="240" w:lineRule="auto"/>
        <w:rPr>
          <w:rFonts w:ascii="Arial" w:eastAsia="Arial" w:hAnsi="Arial" w:cs="Arial"/>
          <w:color w:val="000000" w:themeColor="text1"/>
        </w:rPr>
      </w:pPr>
    </w:p>
    <w:p w14:paraId="3A7BC4DC" w14:textId="77777777" w:rsidR="002F57FB" w:rsidRPr="001F6ECA" w:rsidRDefault="002F57FB" w:rsidP="002F57FB">
      <w:pPr>
        <w:widowControl w:val="0"/>
        <w:numPr>
          <w:ilvl w:val="0"/>
          <w:numId w:val="22"/>
        </w:numPr>
        <w:spacing w:after="0" w:line="240" w:lineRule="auto"/>
        <w:ind w:left="600" w:hanging="360"/>
        <w:rPr>
          <w:color w:val="000000" w:themeColor="text1"/>
        </w:rPr>
      </w:pPr>
      <w:r w:rsidRPr="001F6ECA">
        <w:rPr>
          <w:rFonts w:ascii="Arial" w:eastAsia="Arial" w:hAnsi="Arial" w:cs="Arial"/>
          <w:b/>
          <w:color w:val="000000" w:themeColor="text1"/>
        </w:rPr>
        <w:t>E.1</w:t>
      </w:r>
      <w:r w:rsidRPr="001F6ECA">
        <w:rPr>
          <w:rFonts w:ascii="Arial" w:eastAsia="Arial" w:hAnsi="Arial" w:cs="Arial"/>
          <w:color w:val="000000" w:themeColor="text1"/>
        </w:rPr>
        <w:t>) Are different types of person groups or “agents” distinguished?</w:t>
      </w:r>
    </w:p>
    <w:p w14:paraId="393C09E2" w14:textId="77777777" w:rsidR="002F57FB" w:rsidRPr="001F6ECA" w:rsidRDefault="002F57FB" w:rsidP="002F57FB">
      <w:pPr>
        <w:widowControl w:val="0"/>
        <w:numPr>
          <w:ilvl w:val="1"/>
          <w:numId w:val="12"/>
        </w:numPr>
        <w:spacing w:after="0" w:line="240" w:lineRule="auto"/>
        <w:ind w:left="1200" w:hanging="360"/>
        <w:rPr>
          <w:color w:val="000000" w:themeColor="text1"/>
        </w:rPr>
      </w:pPr>
      <w:r w:rsidRPr="001F6ECA">
        <w:rPr>
          <w:rFonts w:ascii="Arial" w:eastAsia="Arial" w:hAnsi="Arial" w:cs="Arial"/>
          <w:color w:val="000000" w:themeColor="text1"/>
        </w:rPr>
        <w:t>No, all types of person groups or “agents” are allowed without negotiation, allowing for “reasonable” attribution and redistribution restrictions (e.g. CC BY 4.0 or a similarly permissive license, see license types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ONE STAR</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DONE</w:t>
      </w:r>
    </w:p>
    <w:p w14:paraId="4F53F466" w14:textId="77777777" w:rsidR="002F57FB" w:rsidRPr="001F6ECA" w:rsidRDefault="002F57FB" w:rsidP="002F57FB">
      <w:pPr>
        <w:widowControl w:val="0"/>
        <w:numPr>
          <w:ilvl w:val="1"/>
          <w:numId w:val="12"/>
        </w:numPr>
        <w:spacing w:after="0" w:line="240" w:lineRule="auto"/>
        <w:ind w:left="1200" w:hanging="360"/>
        <w:rPr>
          <w:color w:val="000000" w:themeColor="text1"/>
        </w:rPr>
      </w:pPr>
      <w:r w:rsidRPr="001F6ECA">
        <w:rPr>
          <w:rFonts w:ascii="Arial" w:eastAsia="Arial" w:hAnsi="Arial" w:cs="Arial"/>
          <w:color w:val="000000" w:themeColor="text1"/>
        </w:rPr>
        <w:t xml:space="preserve">Would a non-legal professional reasonably interpret the license to mean that individuals either in “research” or “non-commercial” contexts could work with the data (add to, modify, build on) and redistribute the results without negotiation </w:t>
      </w:r>
      <w:r w:rsidRPr="001F6ECA">
        <w:rPr>
          <w:rFonts w:ascii="Arial" w:eastAsia="Arial" w:hAnsi="Arial" w:cs="Arial"/>
          <w:i/>
          <w:color w:val="000000" w:themeColor="text1"/>
        </w:rPr>
        <w:t>and without requiring the remixed data to have a specific license</w:t>
      </w:r>
      <w:r w:rsidRPr="001F6ECA">
        <w:rPr>
          <w:rFonts w:ascii="Arial" w:eastAsia="Arial" w:hAnsi="Arial" w:cs="Arial"/>
          <w:color w:val="000000" w:themeColor="text1"/>
        </w:rPr>
        <w:t>?</w:t>
      </w:r>
    </w:p>
    <w:p w14:paraId="62D3C9F7" w14:textId="77777777" w:rsidR="002F57FB" w:rsidRPr="001F6ECA" w:rsidRDefault="002F57FB" w:rsidP="002F57FB">
      <w:pPr>
        <w:widowControl w:val="0"/>
        <w:numPr>
          <w:ilvl w:val="2"/>
          <w:numId w:val="19"/>
        </w:numPr>
        <w:spacing w:after="0" w:line="240" w:lineRule="auto"/>
        <w:ind w:left="1800" w:hanging="360"/>
        <w:rPr>
          <w:color w:val="000000" w:themeColor="text1"/>
        </w:rPr>
      </w:pPr>
      <w:r w:rsidRPr="001F6ECA">
        <w:rPr>
          <w:rFonts w:ascii="Arial" w:eastAsia="Arial" w:hAnsi="Arial" w:cs="Arial"/>
          <w:b/>
          <w:color w:val="000000" w:themeColor="text1"/>
        </w:rPr>
        <w:t>E.1.1</w:t>
      </w:r>
      <w:r w:rsidRPr="001F6ECA">
        <w:rPr>
          <w:rFonts w:ascii="Arial Unicode MS" w:eastAsia="Arial Unicode MS" w:hAnsi="Arial Unicode MS" w:cs="Arial Unicode MS"/>
          <w:color w:val="000000" w:themeColor="text1"/>
        </w:rPr>
        <w:t xml:space="preserve">) Yes: → </w:t>
      </w:r>
      <w:r w:rsidRPr="001F6ECA">
        <w:rPr>
          <w:rFonts w:ascii="Arial" w:eastAsia="Arial" w:hAnsi="Arial" w:cs="Arial"/>
          <w:b/>
          <w:color w:val="000000" w:themeColor="text1"/>
        </w:rPr>
        <w:t>HALF STAR</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DONE</w:t>
      </w:r>
    </w:p>
    <w:p w14:paraId="71F7EB8F" w14:textId="77777777" w:rsidR="002F57FB" w:rsidRPr="001F6ECA" w:rsidRDefault="002F57FB" w:rsidP="002F57FB">
      <w:pPr>
        <w:widowControl w:val="0"/>
        <w:numPr>
          <w:ilvl w:val="2"/>
          <w:numId w:val="19"/>
        </w:numPr>
        <w:spacing w:after="0" w:line="240" w:lineRule="auto"/>
        <w:ind w:left="1800" w:hanging="360"/>
        <w:rPr>
          <w:color w:val="000000" w:themeColor="text1"/>
        </w:rPr>
      </w:pPr>
      <w:r w:rsidRPr="001F6ECA">
        <w:rPr>
          <w:rFonts w:ascii="Arial" w:eastAsia="Arial" w:hAnsi="Arial" w:cs="Arial"/>
          <w:b/>
          <w:color w:val="000000" w:themeColor="text1"/>
        </w:rPr>
        <w:t>E.1.2</w:t>
      </w:r>
      <w:r w:rsidRPr="001F6ECA">
        <w:rPr>
          <w:rFonts w:ascii="Arial" w:eastAsia="Arial" w:hAnsi="Arial" w:cs="Arial"/>
          <w:color w:val="000000" w:themeColor="text1"/>
        </w:rPr>
        <w:t>) No (e.g. restrictive licenses or all rights reserved, see license types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NO STARS</w:t>
      </w:r>
      <w:r w:rsidRPr="001F6ECA">
        <w:rPr>
          <w:rFonts w:ascii="Arial Unicode MS" w:eastAsia="Arial Unicode MS" w:hAnsi="Arial Unicode MS" w:cs="Arial Unicode MS"/>
          <w:color w:val="000000" w:themeColor="text1"/>
        </w:rPr>
        <w:t xml:space="preserve"> → </w:t>
      </w:r>
      <w:r w:rsidRPr="001F6ECA">
        <w:rPr>
          <w:rFonts w:ascii="Arial" w:eastAsia="Arial" w:hAnsi="Arial" w:cs="Arial"/>
          <w:b/>
          <w:color w:val="000000" w:themeColor="text1"/>
        </w:rPr>
        <w:t>DONE</w:t>
      </w:r>
    </w:p>
    <w:p w14:paraId="4F14BD31" w14:textId="77777777" w:rsidR="002F57FB" w:rsidRPr="001F6ECA" w:rsidRDefault="002F57FB" w:rsidP="002F57FB">
      <w:pPr>
        <w:widowControl w:val="0"/>
        <w:numPr>
          <w:ilvl w:val="0"/>
          <w:numId w:val="22"/>
        </w:numPr>
        <w:spacing w:after="0" w:line="240" w:lineRule="auto"/>
        <w:ind w:left="600" w:hanging="360"/>
        <w:rPr>
          <w:color w:val="000000" w:themeColor="text1"/>
        </w:rPr>
      </w:pPr>
      <w:r w:rsidRPr="001F6ECA">
        <w:rPr>
          <w:rFonts w:ascii="Arial" w:eastAsia="Arial" w:hAnsi="Arial" w:cs="Arial"/>
          <w:color w:val="000000" w:themeColor="text1"/>
        </w:rPr>
        <w:t>Example restrictions on who can (re)use data (a.k.a. discrimination classes); bolded classes are given a half-star exception:</w:t>
      </w:r>
    </w:p>
    <w:p w14:paraId="69AADE89" w14:textId="77777777" w:rsidR="002F57FB" w:rsidRPr="001F6ECA" w:rsidRDefault="002F57FB" w:rsidP="002F57FB">
      <w:pPr>
        <w:widowControl w:val="0"/>
        <w:numPr>
          <w:ilvl w:val="1"/>
          <w:numId w:val="17"/>
        </w:numPr>
        <w:spacing w:after="0" w:line="240" w:lineRule="auto"/>
        <w:ind w:left="1200" w:hanging="360"/>
        <w:rPr>
          <w:color w:val="000000" w:themeColor="text1"/>
        </w:rPr>
      </w:pPr>
      <w:r w:rsidRPr="001F6ECA">
        <w:rPr>
          <w:rFonts w:ascii="Arial" w:eastAsia="Arial" w:hAnsi="Arial" w:cs="Arial"/>
          <w:b/>
          <w:color w:val="000000" w:themeColor="text1"/>
        </w:rPr>
        <w:t>Academic</w:t>
      </w:r>
      <w:r w:rsidRPr="001F6ECA">
        <w:rPr>
          <w:rFonts w:ascii="Arial" w:eastAsia="Arial" w:hAnsi="Arial" w:cs="Arial"/>
          <w:color w:val="000000" w:themeColor="text1"/>
        </w:rPr>
        <w:t>/non-academic: ½</w:t>
      </w:r>
    </w:p>
    <w:p w14:paraId="5B281086" w14:textId="77777777" w:rsidR="002F57FB" w:rsidRPr="001F6ECA" w:rsidRDefault="002F57FB" w:rsidP="002F57FB">
      <w:pPr>
        <w:widowControl w:val="0"/>
        <w:numPr>
          <w:ilvl w:val="1"/>
          <w:numId w:val="17"/>
        </w:numPr>
        <w:spacing w:after="0" w:line="240" w:lineRule="auto"/>
        <w:ind w:left="1200" w:hanging="360"/>
        <w:rPr>
          <w:color w:val="000000" w:themeColor="text1"/>
        </w:rPr>
      </w:pPr>
      <w:r w:rsidRPr="001F6ECA">
        <w:rPr>
          <w:rFonts w:ascii="Arial" w:eastAsia="Arial" w:hAnsi="Arial" w:cs="Arial"/>
          <w:color w:val="000000" w:themeColor="text1"/>
        </w:rPr>
        <w:t>Commercial/</w:t>
      </w:r>
      <w:r w:rsidRPr="001F6ECA">
        <w:rPr>
          <w:rFonts w:ascii="Arial" w:eastAsia="Arial" w:hAnsi="Arial" w:cs="Arial"/>
          <w:b/>
          <w:color w:val="000000" w:themeColor="text1"/>
        </w:rPr>
        <w:t>non-commercial</w:t>
      </w:r>
      <w:r w:rsidRPr="001F6ECA">
        <w:rPr>
          <w:rFonts w:ascii="Arial" w:eastAsia="Arial" w:hAnsi="Arial" w:cs="Arial"/>
          <w:color w:val="000000" w:themeColor="text1"/>
        </w:rPr>
        <w:t>: ½</w:t>
      </w:r>
    </w:p>
    <w:p w14:paraId="2B0ECDF5" w14:textId="77777777" w:rsidR="002F57FB" w:rsidRPr="001F6ECA" w:rsidRDefault="002F57FB" w:rsidP="002F57FB">
      <w:pPr>
        <w:widowControl w:val="0"/>
        <w:numPr>
          <w:ilvl w:val="1"/>
          <w:numId w:val="17"/>
        </w:numPr>
        <w:spacing w:after="0" w:line="240" w:lineRule="auto"/>
        <w:ind w:left="1200" w:hanging="360"/>
        <w:rPr>
          <w:color w:val="000000" w:themeColor="text1"/>
        </w:rPr>
      </w:pPr>
      <w:r w:rsidRPr="001F6ECA">
        <w:rPr>
          <w:rFonts w:ascii="Arial" w:eastAsia="Arial" w:hAnsi="Arial" w:cs="Arial"/>
          <w:b/>
          <w:color w:val="000000" w:themeColor="text1"/>
        </w:rPr>
        <w:t>Clinical</w:t>
      </w:r>
      <w:r w:rsidRPr="001F6ECA">
        <w:rPr>
          <w:rFonts w:ascii="Arial" w:eastAsia="Arial" w:hAnsi="Arial" w:cs="Arial"/>
          <w:color w:val="000000" w:themeColor="text1"/>
        </w:rPr>
        <w:t>/</w:t>
      </w:r>
      <w:r w:rsidRPr="001F6ECA">
        <w:rPr>
          <w:rFonts w:ascii="Arial" w:eastAsia="Arial" w:hAnsi="Arial" w:cs="Arial"/>
          <w:b/>
          <w:color w:val="000000" w:themeColor="text1"/>
        </w:rPr>
        <w:t>non-clinical</w:t>
      </w:r>
      <w:r w:rsidRPr="001F6ECA">
        <w:rPr>
          <w:rFonts w:ascii="Arial" w:eastAsia="Arial" w:hAnsi="Arial" w:cs="Arial"/>
          <w:color w:val="000000" w:themeColor="text1"/>
        </w:rPr>
        <w:t>: ½</w:t>
      </w:r>
    </w:p>
    <w:p w14:paraId="71FFEB58" w14:textId="77777777" w:rsidR="002F57FB" w:rsidRPr="001F6ECA" w:rsidRDefault="002F57FB" w:rsidP="002F57FB">
      <w:pPr>
        <w:widowControl w:val="0"/>
        <w:numPr>
          <w:ilvl w:val="1"/>
          <w:numId w:val="17"/>
        </w:numPr>
        <w:spacing w:after="0" w:line="240" w:lineRule="auto"/>
        <w:ind w:left="1200" w:hanging="360"/>
        <w:rPr>
          <w:color w:val="000000" w:themeColor="text1"/>
        </w:rPr>
      </w:pPr>
      <w:r w:rsidRPr="001F6ECA">
        <w:rPr>
          <w:rFonts w:ascii="Arial" w:eastAsia="Arial" w:hAnsi="Arial" w:cs="Arial"/>
          <w:color w:val="000000" w:themeColor="text1"/>
        </w:rPr>
        <w:t>Personal/non-personal: 0</w:t>
      </w:r>
    </w:p>
    <w:p w14:paraId="01F489C8" w14:textId="77777777" w:rsidR="002F57FB" w:rsidRPr="001F6ECA" w:rsidRDefault="002F57FB" w:rsidP="002F57FB">
      <w:pPr>
        <w:widowControl w:val="0"/>
        <w:numPr>
          <w:ilvl w:val="1"/>
          <w:numId w:val="17"/>
        </w:numPr>
        <w:spacing w:after="0" w:line="240" w:lineRule="auto"/>
        <w:ind w:left="1200" w:hanging="360"/>
        <w:rPr>
          <w:color w:val="000000" w:themeColor="text1"/>
        </w:rPr>
      </w:pPr>
      <w:r w:rsidRPr="001F6ECA">
        <w:rPr>
          <w:rFonts w:ascii="Arial" w:eastAsia="Arial" w:hAnsi="Arial" w:cs="Arial"/>
          <w:color w:val="000000" w:themeColor="text1"/>
        </w:rPr>
        <w:t>Profit/non-profit (note: "okay" for non-profit can mean that (re)sale is still permitted): 0</w:t>
      </w:r>
    </w:p>
    <w:p w14:paraId="1D56660C" w14:textId="77777777" w:rsidR="002F57FB" w:rsidRPr="001F6ECA" w:rsidRDefault="002F57FB" w:rsidP="002F57FB">
      <w:pPr>
        <w:widowControl w:val="0"/>
        <w:numPr>
          <w:ilvl w:val="1"/>
          <w:numId w:val="17"/>
        </w:numPr>
        <w:spacing w:after="0" w:line="240" w:lineRule="auto"/>
        <w:ind w:left="1200" w:hanging="360"/>
        <w:rPr>
          <w:color w:val="000000" w:themeColor="text1"/>
        </w:rPr>
      </w:pPr>
      <w:r w:rsidRPr="001F6ECA">
        <w:rPr>
          <w:rFonts w:ascii="Arial" w:eastAsia="Arial" w:hAnsi="Arial" w:cs="Arial"/>
          <w:color w:val="000000" w:themeColor="text1"/>
        </w:rPr>
        <w:t>Employer-specific: 0</w:t>
      </w:r>
    </w:p>
    <w:p w14:paraId="16958A2B" w14:textId="77777777" w:rsidR="002F57FB" w:rsidRPr="001F6ECA" w:rsidRDefault="002F57FB" w:rsidP="002F57FB">
      <w:pPr>
        <w:widowControl w:val="0"/>
        <w:numPr>
          <w:ilvl w:val="1"/>
          <w:numId w:val="17"/>
        </w:numPr>
        <w:spacing w:after="0" w:line="240" w:lineRule="auto"/>
        <w:ind w:left="1200" w:hanging="360"/>
        <w:rPr>
          <w:color w:val="000000" w:themeColor="text1"/>
        </w:rPr>
      </w:pPr>
      <w:r w:rsidRPr="001F6ECA">
        <w:rPr>
          <w:rFonts w:ascii="Arial" w:eastAsia="Arial" w:hAnsi="Arial" w:cs="Arial"/>
          <w:color w:val="000000" w:themeColor="text1"/>
        </w:rPr>
        <w:t>Geographical or export limitations: 0</w:t>
      </w:r>
    </w:p>
    <w:p w14:paraId="01E259C2" w14:textId="77777777" w:rsidR="002F57FB" w:rsidRPr="001F6ECA" w:rsidRDefault="002F57FB" w:rsidP="002F57FB">
      <w:pPr>
        <w:widowControl w:val="0"/>
        <w:numPr>
          <w:ilvl w:val="1"/>
          <w:numId w:val="17"/>
        </w:numPr>
        <w:spacing w:after="0" w:line="240" w:lineRule="auto"/>
        <w:ind w:left="1200" w:hanging="360"/>
        <w:rPr>
          <w:color w:val="000000" w:themeColor="text1"/>
        </w:rPr>
      </w:pPr>
      <w:r w:rsidRPr="001F6ECA">
        <w:rPr>
          <w:rFonts w:ascii="Arial" w:eastAsia="Arial" w:hAnsi="Arial" w:cs="Arial"/>
          <w:color w:val="000000" w:themeColor="text1"/>
        </w:rPr>
        <w:t>Disease-specific / research community-specific: 0</w:t>
      </w:r>
    </w:p>
    <w:p w14:paraId="639A1B8D" w14:textId="77777777" w:rsidR="002F57FB" w:rsidRPr="001F6ECA" w:rsidRDefault="002F57FB" w:rsidP="002F57FB">
      <w:pPr>
        <w:widowControl w:val="0"/>
        <w:spacing w:after="0" w:line="240" w:lineRule="auto"/>
        <w:rPr>
          <w:rFonts w:ascii="Arial" w:eastAsia="Arial" w:hAnsi="Arial" w:cs="Arial"/>
          <w:color w:val="000000" w:themeColor="text1"/>
        </w:rPr>
      </w:pPr>
    </w:p>
    <w:p w14:paraId="2A1FD348" w14:textId="77777777" w:rsidR="002F57FB" w:rsidRPr="001F6ECA" w:rsidRDefault="002F57FB" w:rsidP="002F57FB">
      <w:pPr>
        <w:spacing w:after="0" w:line="480" w:lineRule="auto"/>
        <w:jc w:val="both"/>
        <w:rPr>
          <w:rFonts w:ascii="Arial" w:eastAsia="Arial" w:hAnsi="Arial" w:cs="Arial"/>
          <w:color w:val="000000" w:themeColor="text1"/>
          <w:sz w:val="24"/>
          <w:szCs w:val="24"/>
        </w:rPr>
      </w:pPr>
      <w:bookmarkStart w:id="7" w:name="_1ksv4uv" w:colFirst="0" w:colLast="0"/>
      <w:bookmarkStart w:id="8" w:name="_44sinio" w:colFirst="0" w:colLast="0"/>
      <w:bookmarkEnd w:id="7"/>
      <w:bookmarkEnd w:id="8"/>
    </w:p>
    <w:p w14:paraId="7667B8C1" w14:textId="77777777" w:rsidR="00A21721" w:rsidRPr="001F6ECA" w:rsidRDefault="001F6ECA">
      <w:pPr>
        <w:rPr>
          <w:color w:val="000000" w:themeColor="text1"/>
        </w:rPr>
      </w:pPr>
    </w:p>
    <w:sectPr w:rsidR="00A21721" w:rsidRPr="001F6ECA">
      <w:footerReference w:type="default" r:id="rId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94095" w14:textId="77777777" w:rsidR="00B071E8" w:rsidRDefault="001F6ECA">
    <w:pPr>
      <w:jc w:val="right"/>
    </w:pPr>
    <w:r>
      <w:fldChar w:fldCharType="begin"/>
    </w:r>
    <w:r>
      <w:instrText>PAGE</w:instrText>
    </w:r>
    <w:r>
      <w:fldChar w:fldCharType="separate"/>
    </w:r>
    <w:r>
      <w:rPr>
        <w:noProof/>
      </w:rPr>
      <w:t>1</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034E3"/>
    <w:multiLevelType w:val="multilevel"/>
    <w:tmpl w:val="3F04E608"/>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 w15:restartNumberingAfterBreak="0">
    <w:nsid w:val="16C94832"/>
    <w:multiLevelType w:val="multilevel"/>
    <w:tmpl w:val="ED929CFE"/>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 w15:restartNumberingAfterBreak="0">
    <w:nsid w:val="20CD18FC"/>
    <w:multiLevelType w:val="multilevel"/>
    <w:tmpl w:val="7046B4C0"/>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 w15:restartNumberingAfterBreak="0">
    <w:nsid w:val="23EE2D4E"/>
    <w:multiLevelType w:val="multilevel"/>
    <w:tmpl w:val="7506DD54"/>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4" w15:restartNumberingAfterBreak="0">
    <w:nsid w:val="26931265"/>
    <w:multiLevelType w:val="multilevel"/>
    <w:tmpl w:val="C04EE6F8"/>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5" w15:restartNumberingAfterBreak="0">
    <w:nsid w:val="2B1C1349"/>
    <w:multiLevelType w:val="multilevel"/>
    <w:tmpl w:val="317E238E"/>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6" w15:restartNumberingAfterBreak="0">
    <w:nsid w:val="32396239"/>
    <w:multiLevelType w:val="multilevel"/>
    <w:tmpl w:val="CB9CABC8"/>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7" w15:restartNumberingAfterBreak="0">
    <w:nsid w:val="35F36E83"/>
    <w:multiLevelType w:val="multilevel"/>
    <w:tmpl w:val="EE52798C"/>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8" w15:restartNumberingAfterBreak="0">
    <w:nsid w:val="36406366"/>
    <w:multiLevelType w:val="multilevel"/>
    <w:tmpl w:val="1C44A9E4"/>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9" w15:restartNumberingAfterBreak="0">
    <w:nsid w:val="36AF2885"/>
    <w:multiLevelType w:val="multilevel"/>
    <w:tmpl w:val="7FBCE27A"/>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0" w15:restartNumberingAfterBreak="0">
    <w:nsid w:val="3CBD5A47"/>
    <w:multiLevelType w:val="multilevel"/>
    <w:tmpl w:val="5514515E"/>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1" w15:restartNumberingAfterBreak="0">
    <w:nsid w:val="3CE60EB6"/>
    <w:multiLevelType w:val="multilevel"/>
    <w:tmpl w:val="04CC6A42"/>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2" w15:restartNumberingAfterBreak="0">
    <w:nsid w:val="40F1319F"/>
    <w:multiLevelType w:val="multilevel"/>
    <w:tmpl w:val="BDD4E1DC"/>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3" w15:restartNumberingAfterBreak="0">
    <w:nsid w:val="42A445F3"/>
    <w:multiLevelType w:val="multilevel"/>
    <w:tmpl w:val="60840472"/>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4" w15:restartNumberingAfterBreak="0">
    <w:nsid w:val="44774DF7"/>
    <w:multiLevelType w:val="multilevel"/>
    <w:tmpl w:val="72F49A48"/>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5" w15:restartNumberingAfterBreak="0">
    <w:nsid w:val="49AB581C"/>
    <w:multiLevelType w:val="multilevel"/>
    <w:tmpl w:val="FA7C3236"/>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6" w15:restartNumberingAfterBreak="0">
    <w:nsid w:val="51671C91"/>
    <w:multiLevelType w:val="multilevel"/>
    <w:tmpl w:val="5A6E811E"/>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7" w15:restartNumberingAfterBreak="0">
    <w:nsid w:val="5F2F4B31"/>
    <w:multiLevelType w:val="multilevel"/>
    <w:tmpl w:val="B28AFC40"/>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8" w15:restartNumberingAfterBreak="0">
    <w:nsid w:val="60723627"/>
    <w:multiLevelType w:val="multilevel"/>
    <w:tmpl w:val="6BA65A24"/>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9" w15:restartNumberingAfterBreak="0">
    <w:nsid w:val="634C1D76"/>
    <w:multiLevelType w:val="multilevel"/>
    <w:tmpl w:val="BE6A6078"/>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0" w15:restartNumberingAfterBreak="0">
    <w:nsid w:val="64AF6057"/>
    <w:multiLevelType w:val="multilevel"/>
    <w:tmpl w:val="8424ED6C"/>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1" w15:restartNumberingAfterBreak="0">
    <w:nsid w:val="676C61E0"/>
    <w:multiLevelType w:val="multilevel"/>
    <w:tmpl w:val="371C9C7E"/>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2" w15:restartNumberingAfterBreak="0">
    <w:nsid w:val="6F943DD4"/>
    <w:multiLevelType w:val="multilevel"/>
    <w:tmpl w:val="789C5A3E"/>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3" w15:restartNumberingAfterBreak="0">
    <w:nsid w:val="6FBC5FF0"/>
    <w:multiLevelType w:val="multilevel"/>
    <w:tmpl w:val="9A007E42"/>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4" w15:restartNumberingAfterBreak="0">
    <w:nsid w:val="6FDB0262"/>
    <w:multiLevelType w:val="multilevel"/>
    <w:tmpl w:val="2A30B99A"/>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5" w15:restartNumberingAfterBreak="0">
    <w:nsid w:val="78285CD4"/>
    <w:multiLevelType w:val="multilevel"/>
    <w:tmpl w:val="D8FCCAA4"/>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6" w15:restartNumberingAfterBreak="0">
    <w:nsid w:val="7A7C298D"/>
    <w:multiLevelType w:val="multilevel"/>
    <w:tmpl w:val="924A91CA"/>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7" w15:restartNumberingAfterBreak="0">
    <w:nsid w:val="7CA47742"/>
    <w:multiLevelType w:val="multilevel"/>
    <w:tmpl w:val="0416FBCE"/>
    <w:lvl w:ilvl="0">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szCs w:val="22"/>
        <w:u w:val="none"/>
        <w:shd w:val="clear" w:color="auto" w:fill="auto"/>
        <w:vertAlign w:val="baseline"/>
      </w:rPr>
    </w:lvl>
  </w:abstractNum>
  <w:num w:numId="1">
    <w:abstractNumId w:val="23"/>
  </w:num>
  <w:num w:numId="2">
    <w:abstractNumId w:val="14"/>
  </w:num>
  <w:num w:numId="3">
    <w:abstractNumId w:val="5"/>
  </w:num>
  <w:num w:numId="4">
    <w:abstractNumId w:val="13"/>
  </w:num>
  <w:num w:numId="5">
    <w:abstractNumId w:val="19"/>
  </w:num>
  <w:num w:numId="6">
    <w:abstractNumId w:val="4"/>
  </w:num>
  <w:num w:numId="7">
    <w:abstractNumId w:val="6"/>
  </w:num>
  <w:num w:numId="8">
    <w:abstractNumId w:val="16"/>
  </w:num>
  <w:num w:numId="9">
    <w:abstractNumId w:val="17"/>
  </w:num>
  <w:num w:numId="10">
    <w:abstractNumId w:val="22"/>
  </w:num>
  <w:num w:numId="11">
    <w:abstractNumId w:val="8"/>
  </w:num>
  <w:num w:numId="12">
    <w:abstractNumId w:val="0"/>
  </w:num>
  <w:num w:numId="13">
    <w:abstractNumId w:val="2"/>
  </w:num>
  <w:num w:numId="14">
    <w:abstractNumId w:val="18"/>
  </w:num>
  <w:num w:numId="15">
    <w:abstractNumId w:val="9"/>
  </w:num>
  <w:num w:numId="16">
    <w:abstractNumId w:val="25"/>
  </w:num>
  <w:num w:numId="17">
    <w:abstractNumId w:val="12"/>
  </w:num>
  <w:num w:numId="18">
    <w:abstractNumId w:val="7"/>
  </w:num>
  <w:num w:numId="19">
    <w:abstractNumId w:val="11"/>
  </w:num>
  <w:num w:numId="20">
    <w:abstractNumId w:val="20"/>
  </w:num>
  <w:num w:numId="21">
    <w:abstractNumId w:val="24"/>
  </w:num>
  <w:num w:numId="22">
    <w:abstractNumId w:val="26"/>
  </w:num>
  <w:num w:numId="23">
    <w:abstractNumId w:val="10"/>
  </w:num>
  <w:num w:numId="24">
    <w:abstractNumId w:val="27"/>
  </w:num>
  <w:num w:numId="25">
    <w:abstractNumId w:val="15"/>
  </w:num>
  <w:num w:numId="26">
    <w:abstractNumId w:val="21"/>
  </w:num>
  <w:num w:numId="27">
    <w:abstractNumId w:val="1"/>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FB"/>
    <w:rsid w:val="001F6ECA"/>
    <w:rsid w:val="002F57FB"/>
    <w:rsid w:val="007419E9"/>
    <w:rsid w:val="0090307C"/>
    <w:rsid w:val="00D77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34758E6"/>
  <w14:defaultImageDpi w14:val="32767"/>
  <w15:chartTrackingRefBased/>
  <w15:docId w15:val="{337AE25F-2629-8643-8D1A-6FCDC52A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F57FB"/>
    <w:pPr>
      <w:spacing w:after="160" w:line="259" w:lineRule="auto"/>
    </w:pPr>
    <w:rPr>
      <w:rFonts w:ascii="Calibri" w:hAnsi="Calibri" w:cs="Calibri"/>
      <w:sz w:val="22"/>
      <w:szCs w:val="22"/>
    </w:rPr>
  </w:style>
  <w:style w:type="paragraph" w:styleId="Heading3">
    <w:name w:val="heading 3"/>
    <w:basedOn w:val="Normal"/>
    <w:next w:val="Normal"/>
    <w:link w:val="Heading3Char"/>
    <w:uiPriority w:val="9"/>
    <w:unhideWhenUsed/>
    <w:qFormat/>
    <w:rsid w:val="002F57FB"/>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2F57FB"/>
    <w:pPr>
      <w:keepNext/>
      <w:keepLines/>
      <w:spacing w:before="240" w:after="40"/>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F57FB"/>
    <w:rPr>
      <w:rFonts w:ascii="Calibri" w:hAnsi="Calibri" w:cs="Calibri"/>
      <w:b/>
      <w:sz w:val="28"/>
      <w:szCs w:val="28"/>
    </w:rPr>
  </w:style>
  <w:style w:type="character" w:customStyle="1" w:styleId="Heading4Char">
    <w:name w:val="Heading 4 Char"/>
    <w:basedOn w:val="DefaultParagraphFont"/>
    <w:link w:val="Heading4"/>
    <w:uiPriority w:val="9"/>
    <w:rsid w:val="002F57FB"/>
    <w:rPr>
      <w:rFonts w:ascii="Calibri" w:hAnsi="Calibri" w:cs="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1844</Words>
  <Characters>10516</Characters>
  <Application>Microsoft Office Word</Application>
  <DocSecurity>0</DocSecurity>
  <Lines>87</Lines>
  <Paragraphs>24</Paragraphs>
  <ScaleCrop>false</ScaleCrop>
  <Company/>
  <LinksUpToDate>false</LinksUpToDate>
  <CharactersWithSpaces>12336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Keiko Yukawa</dc:creator>
  <cp:keywords/>
  <dc:description/>
  <cp:lastModifiedBy>Keiko Yukawa</cp:lastModifiedBy>
  <cp:revision>2</cp:revision>
  <dcterms:created xsi:type="dcterms:W3CDTF">2019-02-28T05:29:00Z</dcterms:created>
  <dcterms:modified xsi:type="dcterms:W3CDTF">2019-02-28T05:32:00Z</dcterms:modified>
</cp:coreProperties>
</file>