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98" w:rsidRDefault="00954B98" w:rsidP="00954B98">
      <w:pPr>
        <w:jc w:val="both"/>
        <w:outlineLvl w:val="0"/>
      </w:pPr>
      <w:r w:rsidRPr="00462F26">
        <w:t>S</w:t>
      </w:r>
      <w:r>
        <w:t xml:space="preserve">5 </w:t>
      </w:r>
      <w:r w:rsidRPr="00462F26">
        <w:t xml:space="preserve">Table. </w:t>
      </w:r>
      <w:r>
        <w:t>Area under the curve (AUC)</w:t>
      </w:r>
      <w:r w:rsidRPr="00462F26">
        <w:t xml:space="preserve"> from the TP and FP found in the different simulations:</w:t>
      </w:r>
      <w:r>
        <w:t xml:space="preserve"> </w:t>
      </w:r>
      <w:r w:rsidRPr="00462F26">
        <w:t>with and without QCs for the different effect sizes</w:t>
      </w:r>
    </w:p>
    <w:p w:rsidR="00954B98" w:rsidRDefault="00954B98" w:rsidP="00954B98">
      <w:bookmarkStart w:id="0" w:name="_GoBack"/>
      <w:r>
        <w:rPr>
          <w:noProof/>
        </w:rPr>
        <w:drawing>
          <wp:inline distT="0" distB="0" distL="0" distR="0" wp14:anchorId="4388AF20" wp14:editId="6DB33F6E">
            <wp:extent cx="5943600" cy="2548214"/>
            <wp:effectExtent l="0" t="0" r="0" b="508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4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54B98" w:rsidRDefault="00954B98" w:rsidP="00954B98">
      <w:pPr>
        <w:outlineLvl w:val="0"/>
      </w:pPr>
    </w:p>
    <w:p w:rsidR="00954B98" w:rsidRDefault="00954B98" w:rsidP="00954B98">
      <w:pPr>
        <w:outlineLvl w:val="0"/>
      </w:pPr>
    </w:p>
    <w:p w:rsidR="00954B98" w:rsidRDefault="00954B98" w:rsidP="00954B98">
      <w:pPr>
        <w:outlineLvl w:val="0"/>
      </w:pPr>
    </w:p>
    <w:p w:rsidR="00534CFC" w:rsidRDefault="00954B98"/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98"/>
    <w:rsid w:val="0036775E"/>
    <w:rsid w:val="00513BA7"/>
    <w:rsid w:val="0095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51BD8-1866-4332-BAC6-BA35ADF5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B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2018-08-17T01:31:00Z</dcterms:created>
  <dcterms:modified xsi:type="dcterms:W3CDTF">2018-08-17T01:32:00Z</dcterms:modified>
</cp:coreProperties>
</file>