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7D8" w:rsidRDefault="005107D8" w:rsidP="005107D8">
      <w:pPr>
        <w:autoSpaceDE w:val="0"/>
        <w:autoSpaceDN w:val="0"/>
        <w:adjustRightInd w:val="0"/>
        <w:spacing w:after="0" w:line="480" w:lineRule="auto"/>
        <w:jc w:val="both"/>
        <w:rPr>
          <w:rFonts w:ascii="Times New Roman" w:hAnsi="Times New Roman"/>
          <w:b/>
          <w:sz w:val="24"/>
          <w:szCs w:val="24"/>
          <w:lang w:val="en-GB"/>
        </w:rPr>
      </w:pPr>
      <w:bookmarkStart w:id="0" w:name="_GoBack"/>
      <w:bookmarkEnd w:id="0"/>
    </w:p>
    <w:p w:rsidR="005107D8" w:rsidRDefault="005107D8" w:rsidP="005107D8">
      <w:pPr>
        <w:autoSpaceDE w:val="0"/>
        <w:autoSpaceDN w:val="0"/>
        <w:adjustRightInd w:val="0"/>
        <w:spacing w:after="0" w:line="480" w:lineRule="auto"/>
        <w:jc w:val="both"/>
        <w:rPr>
          <w:rFonts w:ascii="Times New Roman" w:hAnsi="Times New Roman"/>
          <w:b/>
          <w:sz w:val="24"/>
          <w:szCs w:val="24"/>
          <w:lang w:val="en-GB"/>
        </w:rPr>
      </w:pPr>
    </w:p>
    <w:p w:rsidR="005107D8" w:rsidRPr="00F9571B" w:rsidRDefault="005107D8" w:rsidP="005107D8">
      <w:pPr>
        <w:pStyle w:val="Bibliography"/>
        <w:spacing w:line="480" w:lineRule="auto"/>
        <w:jc w:val="both"/>
        <w:rPr>
          <w:sz w:val="24"/>
          <w:szCs w:val="24"/>
        </w:rPr>
      </w:pPr>
      <w:r w:rsidRPr="00F9571B">
        <w:rPr>
          <w:sz w:val="24"/>
          <w:szCs w:val="24"/>
        </w:rPr>
        <w:t>S1 Appendix.</w:t>
      </w:r>
      <w:r w:rsidR="008249A1">
        <w:rPr>
          <w:sz w:val="24"/>
          <w:szCs w:val="24"/>
        </w:rPr>
        <w:t xml:space="preserve"> Methodology for the collection of leprosy cases in Vietnam</w:t>
      </w:r>
    </w:p>
    <w:p w:rsidR="005107D8" w:rsidRPr="00F9571B" w:rsidRDefault="005107D8" w:rsidP="005107D8">
      <w:pPr>
        <w:spacing w:line="480" w:lineRule="auto"/>
        <w:ind w:firstLine="624"/>
        <w:jc w:val="both"/>
        <w:rPr>
          <w:rFonts w:ascii="Times New Roman" w:eastAsia="Times New Roman" w:hAnsi="Times New Roman"/>
          <w:sz w:val="24"/>
          <w:szCs w:val="24"/>
          <w:lang w:val="en-US"/>
        </w:rPr>
      </w:pPr>
      <w:r>
        <w:rPr>
          <w:rFonts w:ascii="Times New Roman" w:eastAsia="Times New Roman" w:hAnsi="Times New Roman"/>
          <w:sz w:val="24"/>
          <w:szCs w:val="24"/>
          <w:lang w:val="en-US"/>
        </w:rPr>
        <w:t>Between January 1990 and December 2009</w:t>
      </w:r>
      <w:r w:rsidRPr="00F9571B">
        <w:rPr>
          <w:rFonts w:ascii="Times New Roman" w:eastAsia="Times New Roman" w:hAnsi="Times New Roman"/>
          <w:sz w:val="24"/>
          <w:szCs w:val="24"/>
          <w:lang w:val="en-US"/>
        </w:rPr>
        <w:t xml:space="preserve"> and in close collaboration with</w:t>
      </w:r>
      <w:r w:rsidRPr="00F9571B">
        <w:rPr>
          <w:rFonts w:ascii="Times New Roman" w:hAnsi="Times New Roman"/>
          <w:sz w:val="24"/>
          <w:szCs w:val="24"/>
          <w:lang w:val="en-US"/>
        </w:rPr>
        <w:t xml:space="preserve"> the hospital for Dermato-Vener</w:t>
      </w:r>
      <w:r w:rsidRPr="00F9571B">
        <w:rPr>
          <w:rFonts w:ascii="Times New Roman" w:eastAsia="Times New Roman" w:hAnsi="Times New Roman"/>
          <w:sz w:val="24"/>
          <w:szCs w:val="24"/>
          <w:lang w:val="en-US"/>
        </w:rPr>
        <w:t xml:space="preserve">ology of </w:t>
      </w:r>
      <w:smartTag w:uri="urn:schemas-microsoft-com:office:smarttags" w:element="PlaceName">
        <w:r w:rsidRPr="00F9571B">
          <w:rPr>
            <w:rFonts w:ascii="Times New Roman" w:eastAsia="Times New Roman" w:hAnsi="Times New Roman"/>
            <w:sz w:val="24"/>
            <w:szCs w:val="24"/>
            <w:lang w:val="en-US"/>
          </w:rPr>
          <w:t>Ho-Chi-Minh</w:t>
        </w:r>
      </w:smartTag>
      <w:r w:rsidRPr="00F9571B">
        <w:rPr>
          <w:rFonts w:ascii="Times New Roman" w:eastAsia="Times New Roman" w:hAnsi="Times New Roman"/>
          <w:sz w:val="24"/>
          <w:szCs w:val="24"/>
          <w:lang w:val="en-US"/>
        </w:rPr>
        <w:t xml:space="preserve"> </w:t>
      </w:r>
      <w:smartTag w:uri="urn:schemas-microsoft-com:office:smarttags" w:element="PlaceType">
        <w:r w:rsidRPr="00F9571B">
          <w:rPr>
            <w:rFonts w:ascii="Times New Roman" w:eastAsia="Times New Roman" w:hAnsi="Times New Roman"/>
            <w:sz w:val="24"/>
            <w:szCs w:val="24"/>
            <w:lang w:val="en-US"/>
          </w:rPr>
          <w:t>City</w:t>
        </w:r>
      </w:smartTag>
      <w:r w:rsidRPr="00F9571B">
        <w:rPr>
          <w:rFonts w:ascii="Times New Roman" w:eastAsia="Times New Roman" w:hAnsi="Times New Roman"/>
          <w:sz w:val="24"/>
          <w:szCs w:val="24"/>
          <w:lang w:val="en-US"/>
        </w:rPr>
        <w:t xml:space="preserve"> (</w:t>
      </w:r>
      <w:smartTag w:uri="urn:schemas-microsoft-com:office:smarttags" w:element="place">
        <w:smartTag w:uri="urn:schemas-microsoft-com:office:smarttags" w:element="country-region">
          <w:r w:rsidRPr="00F9571B">
            <w:rPr>
              <w:rFonts w:ascii="Times New Roman" w:eastAsia="Times New Roman" w:hAnsi="Times New Roman"/>
              <w:sz w:val="24"/>
              <w:szCs w:val="24"/>
              <w:lang w:val="en-US"/>
            </w:rPr>
            <w:t>Vietnam</w:t>
          </w:r>
        </w:smartTag>
      </w:smartTag>
      <w:r w:rsidRPr="00F9571B">
        <w:rPr>
          <w:rFonts w:ascii="Times New Roman" w:eastAsia="Times New Roman" w:hAnsi="Times New Roman"/>
          <w:sz w:val="24"/>
          <w:szCs w:val="24"/>
          <w:lang w:val="en-US"/>
        </w:rPr>
        <w:t>), we recruited a large sample of families (parents and children) with at least one child diagnosed with leprosy.</w:t>
      </w:r>
      <w:r w:rsidRPr="00F9571B">
        <w:rPr>
          <w:rFonts w:ascii="Times New Roman" w:eastAsia="Times New Roman" w:hAnsi="Times New Roman"/>
          <w:bCs/>
          <w:sz w:val="24"/>
          <w:szCs w:val="24"/>
          <w:lang w:val="en-US"/>
        </w:rPr>
        <w:t xml:space="preserve"> The diagnosis of leprosy patients and their subtype classification according to Ridley and Jopling were based on clinical and histological criteria. In addition, physicians also determined the clinical ‘multibacillary’ or ‘paucibacillary’ status to deliver the appropriate treatment. </w:t>
      </w:r>
      <w:r w:rsidRPr="00F9571B">
        <w:rPr>
          <w:rFonts w:ascii="Times New Roman" w:eastAsia="Times New Roman" w:hAnsi="Times New Roman"/>
          <w:sz w:val="24"/>
          <w:szCs w:val="24"/>
          <w:lang w:val="en-US"/>
        </w:rPr>
        <w:t xml:space="preserve">Lepromin testing was not systematically used in the classification. </w:t>
      </w:r>
      <w:r w:rsidRPr="00F9571B">
        <w:rPr>
          <w:rFonts w:ascii="Times New Roman" w:eastAsia="Times New Roman" w:hAnsi="Times New Roman"/>
          <w:bCs/>
          <w:sz w:val="24"/>
          <w:szCs w:val="24"/>
          <w:lang w:val="en-US"/>
        </w:rPr>
        <w:t xml:space="preserve">Bacteriological index (BI) was used when available and diagnosis (of leprosy and its subtype) was systematically established by two independent physicians. Informed consent was obtained from all study participants. The study was approved by institutional review boards and health authorities in </w:t>
      </w:r>
      <w:smartTag w:uri="urn:schemas-microsoft-com:office:smarttags" w:element="City">
        <w:r w:rsidRPr="00F9571B">
          <w:rPr>
            <w:rFonts w:ascii="Times New Roman" w:eastAsia="Times New Roman" w:hAnsi="Times New Roman"/>
            <w:bCs/>
            <w:sz w:val="24"/>
            <w:szCs w:val="24"/>
            <w:lang w:val="en-US"/>
          </w:rPr>
          <w:t>Ho Chi Minh City</w:t>
        </w:r>
      </w:smartTag>
      <w:r w:rsidRPr="00F9571B">
        <w:rPr>
          <w:rFonts w:ascii="Times New Roman" w:eastAsia="Times New Roman" w:hAnsi="Times New Roman"/>
          <w:bCs/>
          <w:sz w:val="24"/>
          <w:szCs w:val="24"/>
          <w:lang w:val="en-US"/>
        </w:rPr>
        <w:t xml:space="preserve">, </w:t>
      </w:r>
      <w:smartTag w:uri="urn:schemas-microsoft-com:office:smarttags" w:element="country-region">
        <w:r w:rsidRPr="00F9571B">
          <w:rPr>
            <w:rFonts w:ascii="Times New Roman" w:eastAsia="Times New Roman" w:hAnsi="Times New Roman"/>
            <w:bCs/>
            <w:sz w:val="24"/>
            <w:szCs w:val="24"/>
            <w:lang w:val="en-US"/>
          </w:rPr>
          <w:t>Vietnam</w:t>
        </w:r>
      </w:smartTag>
      <w:r w:rsidRPr="00F9571B">
        <w:rPr>
          <w:rFonts w:ascii="Times New Roman" w:eastAsia="Times New Roman" w:hAnsi="Times New Roman"/>
          <w:bCs/>
          <w:sz w:val="24"/>
          <w:szCs w:val="24"/>
          <w:lang w:val="en-US"/>
        </w:rPr>
        <w:t xml:space="preserve">, and The Research Institute of the McGill University Health Centre, </w:t>
      </w:r>
      <w:smartTag w:uri="urn:schemas-microsoft-com:office:smarttags" w:element="place">
        <w:smartTag w:uri="urn:schemas-microsoft-com:office:smarttags" w:element="City">
          <w:r w:rsidRPr="00F9571B">
            <w:rPr>
              <w:rFonts w:ascii="Times New Roman" w:eastAsia="Times New Roman" w:hAnsi="Times New Roman"/>
              <w:bCs/>
              <w:sz w:val="24"/>
              <w:szCs w:val="24"/>
              <w:lang w:val="en-US"/>
            </w:rPr>
            <w:t>Montreal</w:t>
          </w:r>
        </w:smartTag>
        <w:r w:rsidRPr="00F9571B">
          <w:rPr>
            <w:rFonts w:ascii="Times New Roman" w:eastAsia="Times New Roman" w:hAnsi="Times New Roman"/>
            <w:bCs/>
            <w:sz w:val="24"/>
            <w:szCs w:val="24"/>
            <w:lang w:val="en-US"/>
          </w:rPr>
          <w:t xml:space="preserve">, </w:t>
        </w:r>
        <w:smartTag w:uri="urn:schemas-microsoft-com:office:smarttags" w:element="country-region">
          <w:r w:rsidRPr="00F9571B">
            <w:rPr>
              <w:rFonts w:ascii="Times New Roman" w:eastAsia="Times New Roman" w:hAnsi="Times New Roman"/>
              <w:bCs/>
              <w:sz w:val="24"/>
              <w:szCs w:val="24"/>
              <w:lang w:val="en-US"/>
            </w:rPr>
            <w:t>Canada</w:t>
          </w:r>
        </w:smartTag>
      </w:smartTag>
      <w:r w:rsidRPr="00F9571B">
        <w:rPr>
          <w:rFonts w:ascii="Times New Roman" w:eastAsia="Times New Roman" w:hAnsi="Times New Roman"/>
          <w:bCs/>
          <w:sz w:val="24"/>
          <w:szCs w:val="24"/>
          <w:lang w:val="en-US"/>
        </w:rPr>
        <w:t>.</w:t>
      </w:r>
    </w:p>
    <w:p w:rsidR="005107D8" w:rsidRDefault="005107D8" w:rsidP="005107D8">
      <w:pPr>
        <w:spacing w:line="480" w:lineRule="auto"/>
        <w:ind w:firstLine="624"/>
        <w:jc w:val="both"/>
        <w:rPr>
          <w:rFonts w:ascii="Times New Roman" w:hAnsi="Times New Roman"/>
          <w:sz w:val="24"/>
          <w:szCs w:val="24"/>
          <w:lang w:val="en-GB"/>
        </w:rPr>
      </w:pPr>
      <w:r w:rsidRPr="0097077F">
        <w:rPr>
          <w:rFonts w:ascii="Times New Roman" w:hAnsi="Times New Roman"/>
          <w:sz w:val="24"/>
          <w:szCs w:val="24"/>
          <w:lang w:val="en-GB"/>
        </w:rPr>
        <w:t xml:space="preserve">Between 1990 and 2009, we enrolled a total of 2,784 individuals, including 1,182 cases of leprosy. </w:t>
      </w:r>
      <w:r w:rsidRPr="00F9571B">
        <w:rPr>
          <w:rFonts w:ascii="Times New Roman" w:hAnsi="Times New Roman"/>
          <w:sz w:val="24"/>
          <w:szCs w:val="24"/>
          <w:lang w:val="en-GB"/>
        </w:rPr>
        <w:t>Data was available for the number of skin and nerve lesions, BI, Ridley-Jopling classification as well as the two physician’s classification that in practice determined which multidrug regimen each patient should receive.</w:t>
      </w:r>
    </w:p>
    <w:p w:rsidR="005107D8" w:rsidRPr="005107D8" w:rsidRDefault="005107D8">
      <w:pPr>
        <w:rPr>
          <w:lang w:val="en-GB"/>
        </w:rPr>
      </w:pPr>
    </w:p>
    <w:sectPr w:rsidR="005107D8" w:rsidRPr="005107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7D8"/>
    <w:rsid w:val="00055DFB"/>
    <w:rsid w:val="005107D8"/>
    <w:rsid w:val="00824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AA37E783-ABF4-4225-ADF7-A5419E5D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107D8"/>
    <w:pPr>
      <w:spacing w:after="200" w:line="276" w:lineRule="auto"/>
    </w:pPr>
    <w:rPr>
      <w:rFonts w:ascii="Calibri" w:eastAsia="Calibri" w:hAnsi="Calibri"/>
      <w:sz w:val="22"/>
      <w:szCs w:val="22"/>
      <w:lang w:val="fr-FR"/>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ibliography">
    <w:name w:val="Bibliography"/>
    <w:basedOn w:val="Normal"/>
    <w:rsid w:val="005107D8"/>
    <w:pPr>
      <w:tabs>
        <w:tab w:val="left" w:pos="624"/>
      </w:tabs>
      <w:spacing w:after="240" w:line="240" w:lineRule="auto"/>
      <w:ind w:left="624" w:hanging="624"/>
      <w:jc w:val="center"/>
    </w:pPr>
    <w:rPr>
      <w:rFonts w:ascii="Times New Roman" w:eastAsia="Times New Roman" w:hAnsi="Times New Roman"/>
      <w:b/>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1195</Characters>
  <Application>Microsoft Office Word</Application>
  <DocSecurity>0</DocSecurity>
  <Lines>9</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S1 Appendix</vt:lpstr>
      <vt:lpstr>S1 Appendix</vt:lpstr>
    </vt:vector>
  </TitlesOfParts>
  <Company>AP-HP</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 Appendix</dc:title>
  <dc:subject/>
  <dc:creator>AP-HP</dc:creator>
  <cp:keywords/>
  <dc:description/>
  <cp:lastModifiedBy>Donnie McLohon</cp:lastModifiedBy>
  <cp:revision>2</cp:revision>
  <dcterms:created xsi:type="dcterms:W3CDTF">2016-04-27T14:13:00Z</dcterms:created>
  <dcterms:modified xsi:type="dcterms:W3CDTF">2016-04-27T14:13:00Z</dcterms:modified>
</cp:coreProperties>
</file>