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A95" w:rsidRPr="00485136" w:rsidRDefault="00084575" w:rsidP="00975A95">
      <w:pPr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en-US"/>
        </w:rPr>
        <w:t>S1</w:t>
      </w:r>
      <w:r w:rsidR="00975A95">
        <w:rPr>
          <w:rFonts w:ascii="Times New Roman" w:hAnsi="Times New Roman"/>
          <w:b/>
          <w:sz w:val="24"/>
          <w:szCs w:val="24"/>
          <w:lang w:val="en-US"/>
        </w:rPr>
        <w:t xml:space="preserve"> Table</w:t>
      </w:r>
      <w:r w:rsidR="00975A95" w:rsidRPr="00485136">
        <w:rPr>
          <w:rFonts w:ascii="Times New Roman" w:hAnsi="Times New Roman"/>
          <w:b/>
          <w:sz w:val="24"/>
          <w:szCs w:val="24"/>
          <w:lang w:val="en-US"/>
        </w:rPr>
        <w:t>. Main types of analyses used in genetic epidemiology</w:t>
      </w:r>
    </w:p>
    <w:tbl>
      <w:tblPr>
        <w:tblW w:w="5709" w:type="pct"/>
        <w:tblInd w:w="-907" w:type="dxa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9"/>
        <w:gridCol w:w="1214"/>
        <w:gridCol w:w="1984"/>
        <w:gridCol w:w="1552"/>
        <w:gridCol w:w="2841"/>
        <w:gridCol w:w="3688"/>
        <w:gridCol w:w="3656"/>
      </w:tblGrid>
      <w:tr w:rsidR="00975A95" w:rsidRPr="00485136" w:rsidTr="00975A95">
        <w:trPr>
          <w:trHeight w:val="425"/>
        </w:trPr>
        <w:tc>
          <w:tcPr>
            <w:tcW w:w="7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  <w:t>Sample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  <w:t>Nb of markers</w:t>
            </w:r>
          </w:p>
        </w:tc>
        <w:tc>
          <w:tcPr>
            <w:tcW w:w="8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  <w:t>Aim</w:t>
            </w: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  <w:t>Design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color w:val="FF0000"/>
                <w:sz w:val="20"/>
                <w:szCs w:val="20"/>
                <w:lang w:val="en-US"/>
              </w:rPr>
              <w:t>Limitations</w:t>
            </w:r>
          </w:p>
        </w:tc>
      </w:tr>
      <w:tr w:rsidR="00975A95" w:rsidRPr="00E95F92" w:rsidTr="00975A95">
        <w:trPr>
          <w:trHeight w:val="778"/>
        </w:trPr>
        <w:tc>
          <w:tcPr>
            <w:tcW w:w="4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DNA-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independent studies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  <w:t xml:space="preserve">Familial aggregation 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Families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No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genetic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markers</w:t>
            </w:r>
          </w:p>
        </w:tc>
        <w:tc>
          <w:tcPr>
            <w:tcW w:w="8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Highlight an excess in the familial risk for the disease under study</w:t>
            </w: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Comparison of the risk of developing the disease among relatives of affected individuals or of healthy subjects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No possible differentiation between genetic and environmental factors (common familial lifestyle)</w:t>
            </w:r>
          </w:p>
        </w:tc>
      </w:tr>
      <w:tr w:rsidR="00975A95" w:rsidRPr="00E95F92" w:rsidTr="00975A95">
        <w:trPr>
          <w:trHeight w:val="707"/>
        </w:trPr>
        <w:tc>
          <w:tcPr>
            <w:tcW w:w="400" w:type="pct"/>
            <w:vMerge/>
            <w:tcBorders>
              <w:right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  <w:t xml:space="preserve">Twins 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Mono and dizygotic twins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vMerge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75" w:type="pct"/>
            <w:vMerge w:val="restart"/>
            <w:tcBorders>
              <w:top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Distinguish the relative contribution of genetic factors from other familial factors that contribute to the familial aggregation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Comparison of the phe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notypic concordance rate in </w:t>
            </w: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monozygotic and dizygotic twins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Rarity of cases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Ascertainment bias of mono and dizygotic twin pairs in old studies</w:t>
            </w:r>
          </w:p>
        </w:tc>
      </w:tr>
      <w:tr w:rsidR="00975A95" w:rsidRPr="00E95F92" w:rsidTr="00975A95">
        <w:trPr>
          <w:trHeight w:val="705"/>
        </w:trPr>
        <w:tc>
          <w:tcPr>
            <w:tcW w:w="4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  <w:t xml:space="preserve">Adoptees 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Adopted children and their siblings</w:t>
            </w:r>
          </w:p>
        </w:tc>
        <w:tc>
          <w:tcPr>
            <w:tcW w:w="478" w:type="pct"/>
            <w:vMerge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Comparison of the correlation between children and their natural or adopted parents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Rarity of cases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Age of adoption</w:t>
            </w:r>
          </w:p>
        </w:tc>
      </w:tr>
      <w:tr w:rsidR="00975A95" w:rsidRPr="00E95F92" w:rsidTr="00975A95">
        <w:trPr>
          <w:trHeight w:val="1142"/>
        </w:trPr>
        <w:tc>
          <w:tcPr>
            <w:tcW w:w="4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  <w:t xml:space="preserve">Segregation 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Families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sym w:font="Symbol" w:char="F0B3"/>
            </w: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 generations</w:t>
            </w:r>
          </w:p>
        </w:tc>
        <w:tc>
          <w:tcPr>
            <w:tcW w:w="478" w:type="pct"/>
            <w:vMerge/>
            <w:tcBorders>
              <w:bottom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Determine the origin of familial correlations, in particular investigate the effect of a major gene among all genetic and environmental risk factors</w:t>
            </w:r>
          </w:p>
        </w:tc>
        <w:tc>
          <w:tcPr>
            <w:tcW w:w="11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Mathematical modeling of the disease risk according to the effects of a major gene, familial correlations and environmental factors and their interactions</w:t>
            </w:r>
          </w:p>
        </w:tc>
        <w:tc>
          <w:tcPr>
            <w:tcW w:w="11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Large samples required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Simple genetic models only, otherwise computationally intensive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75A95" w:rsidRPr="00E95F92" w:rsidTr="00975A95">
        <w:trPr>
          <w:trHeight w:val="780"/>
        </w:trPr>
        <w:tc>
          <w:tcPr>
            <w:tcW w:w="40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DNA-dependent studies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  <w:t xml:space="preserve">Linkage 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Families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sym w:font="Symbol" w:char="F0B3"/>
            </w: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 affected siblings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Candidate-region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(2-10)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Map chromosomal regions on the genome containing one or more gene(s) of susceptibility</w:t>
            </w:r>
          </w:p>
        </w:tc>
        <w:tc>
          <w:tcPr>
            <w:tcW w:w="1136" w:type="pct"/>
            <w:vMerge w:val="restart"/>
            <w:tcBorders>
              <w:top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Study of the correlation between the phenotypic similarity of two related individuals and their genotypic similarity. In the example of affected sib pairs, we test whether, for a given marker, two affected siblings share more than 50% of alleles inherited from their parents</w:t>
            </w:r>
          </w:p>
        </w:tc>
        <w:tc>
          <w:tcPr>
            <w:tcW w:w="1127" w:type="pct"/>
            <w:vMerge w:val="restart"/>
            <w:tcBorders>
              <w:top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No possible fine localization of the genes of interest (usual region size is 5-10 megabases in the context of a complex phenotype)</w:t>
            </w:r>
          </w:p>
        </w:tc>
      </w:tr>
      <w:tr w:rsidR="00975A95" w:rsidRPr="00485136" w:rsidTr="00975A95">
        <w:trPr>
          <w:trHeight w:val="845"/>
        </w:trPr>
        <w:tc>
          <w:tcPr>
            <w:tcW w:w="400" w:type="pct"/>
            <w:vMerge/>
            <w:tcBorders>
              <w:right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</w:pPr>
          </w:p>
        </w:tc>
        <w:tc>
          <w:tcPr>
            <w:tcW w:w="611" w:type="pct"/>
            <w:vMerge/>
            <w:tcBorders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Genome-wide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(400–10,000)</w:t>
            </w: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6" w:type="pct"/>
            <w:vMerge/>
            <w:tcBorders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27" w:type="pct"/>
            <w:vMerge/>
            <w:tcBorders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75A95" w:rsidRPr="00485136" w:rsidTr="00975A95">
        <w:trPr>
          <w:trHeight w:val="705"/>
        </w:trPr>
        <w:tc>
          <w:tcPr>
            <w:tcW w:w="400" w:type="pct"/>
            <w:vMerge/>
            <w:tcBorders>
              <w:right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b/>
                <w:i/>
                <w:color w:val="4F81BD"/>
                <w:sz w:val="20"/>
                <w:szCs w:val="20"/>
                <w:lang w:val="en-US"/>
              </w:rPr>
              <w:t xml:space="preserve">Association 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Case-control design:</w:t>
            </w:r>
          </w:p>
          <w:p w:rsidR="00975A95" w:rsidRPr="00485136" w:rsidRDefault="00975A95" w:rsidP="00975A9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unmatched cases and controls from a same ethnicity</w:t>
            </w:r>
          </w:p>
          <w:p w:rsidR="00975A95" w:rsidRPr="00485136" w:rsidRDefault="00975A95" w:rsidP="00975A95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Familial design:</w:t>
            </w:r>
          </w:p>
          <w:p w:rsidR="00975A95" w:rsidRPr="00485136" w:rsidRDefault="00975A95" w:rsidP="00975A95">
            <w:pPr>
              <w:spacing w:after="0" w:line="240" w:lineRule="auto"/>
              <w:ind w:left="3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‘Trio’ = one affected child and biological parents</w:t>
            </w: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Candidate-gene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(1-10)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Identify in a particular region a genetic variant responsible for an increased risk of disease or in linkage disequilibrium with the functional genetic variant</w:t>
            </w:r>
          </w:p>
        </w:tc>
        <w:tc>
          <w:tcPr>
            <w:tcW w:w="1136" w:type="pct"/>
            <w:vMerge w:val="restart"/>
            <w:tcBorders>
              <w:top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Case-control design:</w:t>
            </w:r>
          </w:p>
          <w:p w:rsidR="00975A95" w:rsidRPr="00485136" w:rsidRDefault="00975A95" w:rsidP="00975A9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Comparison of allele/genotype frequencies between cases and unrelated controls for a given marker</w:t>
            </w:r>
          </w:p>
          <w:p w:rsidR="00975A95" w:rsidRPr="00485136" w:rsidRDefault="00975A95" w:rsidP="00975A9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Familial design:</w:t>
            </w:r>
          </w:p>
          <w:p w:rsidR="00975A95" w:rsidRPr="00485136" w:rsidRDefault="00975A95" w:rsidP="00975A9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Comparison of allele transmission from parents to their affected children</w:t>
            </w:r>
          </w:p>
          <w:p w:rsidR="00975A95" w:rsidRPr="00485136" w:rsidRDefault="00975A95" w:rsidP="00975A9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Study of genetic imprinting</w:t>
            </w:r>
          </w:p>
        </w:tc>
        <w:tc>
          <w:tcPr>
            <w:tcW w:w="1127" w:type="pct"/>
            <w:vMerge w:val="restart"/>
            <w:tcBorders>
              <w:top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Case-control design:</w:t>
            </w:r>
          </w:p>
          <w:p w:rsidR="00975A95" w:rsidRPr="00485136" w:rsidRDefault="00975A95" w:rsidP="00975A95">
            <w:pPr>
              <w:spacing w:after="0" w:line="240" w:lineRule="auto"/>
              <w:ind w:left="21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Delicate choice of controls</w:t>
            </w:r>
          </w:p>
          <w:p w:rsidR="00975A95" w:rsidRPr="00485136" w:rsidRDefault="00975A95" w:rsidP="00975A95">
            <w:pPr>
              <w:spacing w:after="0" w:line="240" w:lineRule="auto"/>
              <w:ind w:left="21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Spurious associations (population stratification &amp; linkage disequilibrium)</w:t>
            </w:r>
          </w:p>
          <w:p w:rsidR="00975A95" w:rsidRPr="00485136" w:rsidRDefault="00975A95" w:rsidP="00975A95">
            <w:pPr>
              <w:spacing w:after="0" w:line="240" w:lineRule="auto"/>
              <w:ind w:left="21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Familial design:</w:t>
            </w:r>
          </w:p>
          <w:p w:rsidR="00975A95" w:rsidRPr="00485136" w:rsidRDefault="00975A95" w:rsidP="00975A95">
            <w:pPr>
              <w:spacing w:after="0" w:line="240" w:lineRule="auto"/>
              <w:ind w:left="21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Genotyping of relatives required</w:t>
            </w:r>
          </w:p>
          <w:p w:rsidR="00975A95" w:rsidRPr="00485136" w:rsidRDefault="00975A95" w:rsidP="00975A95">
            <w:pPr>
              <w:spacing w:after="0" w:line="240" w:lineRule="auto"/>
              <w:ind w:left="21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Bias towards younger age</w:t>
            </w:r>
          </w:p>
          <w:p w:rsidR="00975A95" w:rsidRPr="00485136" w:rsidRDefault="00975A95" w:rsidP="00975A95">
            <w:pPr>
              <w:spacing w:after="0" w:line="240" w:lineRule="auto"/>
              <w:ind w:left="21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975A95" w:rsidRPr="00485136" w:rsidTr="00975A95">
        <w:trPr>
          <w:trHeight w:val="705"/>
        </w:trPr>
        <w:tc>
          <w:tcPr>
            <w:tcW w:w="400" w:type="pct"/>
            <w:vMerge/>
            <w:tcBorders>
              <w:right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11" w:type="pct"/>
            <w:vMerge/>
            <w:vAlign w:val="center"/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GWAS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(500,000-5M)</w:t>
            </w:r>
          </w:p>
        </w:tc>
        <w:tc>
          <w:tcPr>
            <w:tcW w:w="875" w:type="pct"/>
            <w:vMerge/>
            <w:vAlign w:val="center"/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6" w:type="pct"/>
            <w:vMerge/>
            <w:vAlign w:val="center"/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7" w:type="pct"/>
            <w:vMerge/>
            <w:vAlign w:val="center"/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75A95" w:rsidRPr="00485136" w:rsidTr="00975A95">
        <w:trPr>
          <w:trHeight w:val="679"/>
        </w:trPr>
        <w:tc>
          <w:tcPr>
            <w:tcW w:w="40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611" w:type="pct"/>
            <w:vMerge/>
            <w:tcBorders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</w:tcPr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  <w:lang w:val="en-US"/>
              </w:rPr>
            </w:pP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Sequencing</w:t>
            </w:r>
          </w:p>
          <w:p w:rsidR="00975A95" w:rsidRPr="00485136" w:rsidRDefault="00975A95" w:rsidP="00975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136">
              <w:rPr>
                <w:rFonts w:ascii="Times New Roman" w:hAnsi="Times New Roman"/>
                <w:sz w:val="20"/>
                <w:szCs w:val="20"/>
                <w:lang w:val="en-US"/>
              </w:rPr>
              <w:t>(30M-3G)</w:t>
            </w: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6" w:type="pct"/>
            <w:vMerge/>
            <w:tcBorders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7" w:type="pct"/>
            <w:vMerge/>
            <w:tcBorders>
              <w:bottom w:val="single" w:sz="4" w:space="0" w:color="auto"/>
            </w:tcBorders>
            <w:vAlign w:val="center"/>
          </w:tcPr>
          <w:p w:rsidR="00975A95" w:rsidRPr="00485136" w:rsidRDefault="00975A95" w:rsidP="00975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975A95" w:rsidRDefault="00975A95"/>
    <w:sectPr w:rsidR="00975A95" w:rsidSect="00975A9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EE4" w:rsidRDefault="001D0EE4">
      <w:r>
        <w:separator/>
      </w:r>
    </w:p>
  </w:endnote>
  <w:endnote w:type="continuationSeparator" w:id="0">
    <w:p w:rsidR="001D0EE4" w:rsidRDefault="001D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EE4" w:rsidRDefault="001D0EE4">
      <w:r>
        <w:separator/>
      </w:r>
    </w:p>
  </w:footnote>
  <w:footnote w:type="continuationSeparator" w:id="0">
    <w:p w:rsidR="001D0EE4" w:rsidRDefault="001D0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A95"/>
    <w:rsid w:val="00084575"/>
    <w:rsid w:val="001D0EE4"/>
    <w:rsid w:val="00537590"/>
    <w:rsid w:val="00975A95"/>
    <w:rsid w:val="00B6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A9CD4D-D729-4410-8DB3-F9D8B219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75A95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S2 Table</vt:lpstr>
      <vt:lpstr>S2 Table</vt:lpstr>
    </vt:vector>
  </TitlesOfParts>
  <Company>AP-HP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S2 Table</dc:title>
  <dc:subject/>
  <dc:creator>AP-HP</dc:creator>
  <cp:keywords/>
  <dc:description/>
  <cp:lastModifiedBy>Donnie McLohon</cp:lastModifiedBy>
  <cp:revision>2</cp:revision>
  <dcterms:created xsi:type="dcterms:W3CDTF">2016-05-02T14:41:00Z</dcterms:created>
  <dcterms:modified xsi:type="dcterms:W3CDTF">2016-05-02T14:41:00Z</dcterms:modified>
</cp:coreProperties>
</file>