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2B9" w:rsidRPr="001274BC" w:rsidRDefault="00641C6B" w:rsidP="001274BC">
      <w:pPr>
        <w:widowControl/>
        <w:rPr>
          <w:rFonts w:ascii="Times New Roman" w:hAnsi="Times New Roman" w:cs="Times New Roman"/>
          <w:b/>
          <w:noProof/>
        </w:rPr>
      </w:pPr>
      <w:bookmarkStart w:id="0" w:name="_GoBack"/>
      <w:proofErr w:type="gramStart"/>
      <w:r>
        <w:rPr>
          <w:rFonts w:ascii="Times New Roman" w:hAnsi="Times New Roman" w:cs="Times New Roman"/>
          <w:b/>
        </w:rPr>
        <w:t>S1 Text.</w:t>
      </w:r>
      <w:proofErr w:type="gramEnd"/>
      <w:r>
        <w:rPr>
          <w:rFonts w:ascii="Times New Roman" w:hAnsi="Times New Roman" w:cs="Times New Roman"/>
          <w:b/>
        </w:rPr>
        <w:t xml:space="preserve"> </w:t>
      </w:r>
      <w:r w:rsidR="001274BC" w:rsidRPr="001274BC">
        <w:rPr>
          <w:rFonts w:ascii="Times New Roman" w:hAnsi="Times New Roman" w:cs="Times New Roman"/>
          <w:b/>
        </w:rPr>
        <w:t xml:space="preserve">Attrition and a few other methodological problems in the study of cognitive </w:t>
      </w:r>
      <w:r w:rsidR="00BD671A">
        <w:rPr>
          <w:rFonts w:ascii="Times New Roman" w:hAnsi="Times New Roman" w:cs="Times New Roman"/>
          <w:b/>
        </w:rPr>
        <w:t>ageing</w:t>
      </w:r>
      <w:bookmarkEnd w:id="0"/>
    </w:p>
    <w:p w:rsidR="009161A3" w:rsidRPr="001D13FD" w:rsidRDefault="009161A3" w:rsidP="001D13FD">
      <w:pPr>
        <w:tabs>
          <w:tab w:val="center" w:pos="4800"/>
          <w:tab w:val="right" w:pos="9500"/>
        </w:tabs>
        <w:rPr>
          <w:rFonts w:ascii="Times New Roman" w:hAnsi="Times New Roman" w:cs="Times New Roman"/>
          <w:noProof/>
        </w:rPr>
      </w:pPr>
    </w:p>
    <w:p w:rsidR="009161A3" w:rsidRPr="001D13FD" w:rsidRDefault="009161A3" w:rsidP="001D13FD">
      <w:pPr>
        <w:tabs>
          <w:tab w:val="center" w:pos="4800"/>
          <w:tab w:val="right" w:pos="9500"/>
        </w:tabs>
        <w:rPr>
          <w:rFonts w:ascii="Times New Roman" w:hAnsi="Times New Roman" w:cs="Times New Roman"/>
          <w:noProof/>
        </w:rPr>
      </w:pPr>
      <w:r w:rsidRPr="001D13FD">
        <w:rPr>
          <w:rFonts w:ascii="Times New Roman" w:hAnsi="Times New Roman" w:cs="Times New Roman"/>
          <w:noProof/>
        </w:rPr>
        <w:t xml:space="preserve">Gindo Tampubolon </w:t>
      </w:r>
    </w:p>
    <w:p w:rsidR="009161A3" w:rsidRPr="001D13FD" w:rsidRDefault="009161A3" w:rsidP="00C763E0">
      <w:pPr>
        <w:tabs>
          <w:tab w:val="center" w:pos="4800"/>
          <w:tab w:val="right" w:pos="9500"/>
        </w:tabs>
        <w:jc w:val="both"/>
        <w:rPr>
          <w:rFonts w:ascii="Times New Roman" w:hAnsi="Times New Roman" w:cs="Times New Roman"/>
          <w:noProof/>
        </w:rPr>
      </w:pPr>
    </w:p>
    <w:p w:rsidR="009161A3" w:rsidRPr="001D13FD" w:rsidRDefault="009161A3" w:rsidP="005A4358">
      <w:pPr>
        <w:tabs>
          <w:tab w:val="center" w:pos="4800"/>
          <w:tab w:val="right" w:pos="9500"/>
        </w:tabs>
        <w:rPr>
          <w:rFonts w:ascii="Times New Roman" w:hAnsi="Times New Roman" w:cs="Times New Roman"/>
          <w:b/>
          <w:noProof/>
        </w:rPr>
      </w:pPr>
      <w:r w:rsidRPr="001D13FD">
        <w:rPr>
          <w:rFonts w:ascii="Times New Roman" w:hAnsi="Times New Roman" w:cs="Times New Roman"/>
          <w:b/>
          <w:noProof/>
        </w:rPr>
        <w:t>Abstract</w:t>
      </w:r>
    </w:p>
    <w:p w:rsidR="009161A3" w:rsidRPr="001D13FD" w:rsidRDefault="009161A3" w:rsidP="005A4358">
      <w:pPr>
        <w:tabs>
          <w:tab w:val="center" w:pos="4800"/>
          <w:tab w:val="right" w:pos="9500"/>
        </w:tabs>
        <w:rPr>
          <w:rFonts w:ascii="Times New Roman" w:hAnsi="Times New Roman" w:cs="Times New Roman"/>
          <w:b/>
          <w:noProof/>
        </w:rPr>
      </w:pPr>
      <w:r w:rsidRPr="001D13FD">
        <w:rPr>
          <w:rFonts w:ascii="Times New Roman" w:hAnsi="Times New Roman" w:cs="Times New Roman"/>
          <w:b/>
          <w:noProof/>
        </w:rPr>
        <w:t>Background</w:t>
      </w:r>
    </w:p>
    <w:p w:rsidR="009161A3" w:rsidRPr="001D13FD" w:rsidRDefault="009161A3" w:rsidP="005A4358">
      <w:pPr>
        <w:tabs>
          <w:tab w:val="center" w:pos="4800"/>
          <w:tab w:val="right" w:pos="9500"/>
        </w:tabs>
        <w:jc w:val="both"/>
        <w:rPr>
          <w:rFonts w:ascii="Times New Roman" w:hAnsi="Times New Roman" w:cs="Times New Roman"/>
          <w:noProof/>
        </w:rPr>
      </w:pPr>
      <w:r w:rsidRPr="001D13FD">
        <w:rPr>
          <w:rFonts w:ascii="Times New Roman" w:hAnsi="Times New Roman" w:cs="Times New Roman"/>
          <w:noProof/>
        </w:rPr>
        <w:t xml:space="preserve">Dementias in high income countries are set to be the third major burden of disease even as older people are increasingly required to think for themselves how to provide for their lives in retirement. Meanwhile the period of older age continues to extend with increase in life expectancy. This challenge demands an understanding of how cognition changes over an extended period in later life. But studying cognitive ageing in the population faces a difficulty from the fact that older respondents are liable to leave (attrite) before study completion. This study tested three hypotheses: trajectories of cognitive ageing in Britain show an improvement beyond the age of 50; and they are lifted by secular improvement in cognition across cohorts; lastly they are susceptible to distortion due to attrition. </w:t>
      </w:r>
    </w:p>
    <w:p w:rsidR="009161A3" w:rsidRPr="001D13FD" w:rsidRDefault="009161A3" w:rsidP="005A4358">
      <w:pPr>
        <w:tabs>
          <w:tab w:val="center" w:pos="4800"/>
          <w:tab w:val="right" w:pos="9500"/>
        </w:tabs>
        <w:rPr>
          <w:rFonts w:ascii="Times New Roman" w:hAnsi="Times New Roman" w:cs="Times New Roman"/>
          <w:b/>
          <w:noProof/>
        </w:rPr>
      </w:pPr>
      <w:r w:rsidRPr="001D13FD">
        <w:rPr>
          <w:rFonts w:ascii="Times New Roman" w:hAnsi="Times New Roman" w:cs="Times New Roman"/>
          <w:b/>
          <w:noProof/>
        </w:rPr>
        <w:t>Methods and Findings</w:t>
      </w:r>
    </w:p>
    <w:p w:rsidR="009161A3" w:rsidRPr="001D13FD" w:rsidRDefault="009161A3" w:rsidP="005A4358">
      <w:pPr>
        <w:tabs>
          <w:tab w:val="center" w:pos="4800"/>
          <w:tab w:val="right" w:pos="9500"/>
        </w:tabs>
        <w:jc w:val="both"/>
        <w:rPr>
          <w:rFonts w:ascii="Times New Roman" w:hAnsi="Times New Roman" w:cs="Times New Roman"/>
          <w:noProof/>
        </w:rPr>
      </w:pPr>
      <w:r w:rsidRPr="001D13FD">
        <w:rPr>
          <w:rFonts w:ascii="Times New Roman" w:hAnsi="Times New Roman" w:cs="Times New Roman"/>
          <w:noProof/>
        </w:rPr>
        <w:t>Using the English Longitudinal Study of Ageing, this paper studied trajectories of episodic memory of Britons aged 50-89 from 2002 to 2013 (</w:t>
      </w:r>
      <w:r w:rsidRPr="001D13FD">
        <w:rPr>
          <w:rFonts w:ascii="Times New Roman" w:hAnsi="Times New Roman" w:cs="Times New Roman"/>
          <w:noProof/>
          <w:position w:val="-6"/>
        </w:rPr>
        <w:object w:dxaOrig="9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9pt;height:14.25pt" o:ole="">
            <v:imagedata r:id="rId8" o:title=""/>
          </v:shape>
          <o:OLEObject Type="Embed" ProgID="Equation.3" ShapeID="_x0000_i1025" DrawAspect="Content" ObjectID="_1510730717" r:id="rId9"/>
        </w:object>
      </w:r>
      <w:r w:rsidRPr="001D13FD">
        <w:rPr>
          <w:rFonts w:ascii="Times New Roman" w:hAnsi="Times New Roman" w:cs="Times New Roman"/>
          <w:noProof/>
        </w:rPr>
        <w:t xml:space="preserve">). Using joint models the analysis found that levels of episodic memory follow a curvilinear shape, not a steady decline, in later life. The findings also revealed secular improvement in cognitive ageing such that as a cohort is being replaced episodic memory levels in the population improve. The analysis lastly demonstrated that failure to simultaneously model attrition can produce distorted pictures of cognitive ageing. </w:t>
      </w:r>
    </w:p>
    <w:p w:rsidR="009161A3" w:rsidRPr="001D13FD" w:rsidRDefault="009161A3" w:rsidP="005A4358">
      <w:pPr>
        <w:tabs>
          <w:tab w:val="center" w:pos="4800"/>
          <w:tab w:val="right" w:pos="9500"/>
        </w:tabs>
        <w:rPr>
          <w:rFonts w:ascii="Times New Roman" w:hAnsi="Times New Roman" w:cs="Times New Roman"/>
          <w:b/>
          <w:noProof/>
        </w:rPr>
      </w:pPr>
      <w:r w:rsidRPr="001D13FD">
        <w:rPr>
          <w:rFonts w:ascii="Times New Roman" w:hAnsi="Times New Roman" w:cs="Times New Roman"/>
          <w:b/>
          <w:noProof/>
        </w:rPr>
        <w:t>Conclusion</w:t>
      </w:r>
    </w:p>
    <w:p w:rsidR="009161A3" w:rsidRPr="001D13FD" w:rsidRDefault="009161A3" w:rsidP="005A4358">
      <w:pPr>
        <w:tabs>
          <w:tab w:val="center" w:pos="4800"/>
          <w:tab w:val="right" w:pos="9500"/>
        </w:tabs>
        <w:jc w:val="both"/>
        <w:rPr>
          <w:rFonts w:ascii="Times New Roman" w:hAnsi="Times New Roman" w:cs="Times New Roman"/>
          <w:noProof/>
        </w:rPr>
      </w:pPr>
      <w:r w:rsidRPr="001D13FD">
        <w:rPr>
          <w:rFonts w:ascii="Times New Roman" w:hAnsi="Times New Roman" w:cs="Times New Roman"/>
          <w:noProof/>
        </w:rPr>
        <w:t>Old age in this century is not necessarily a period dominated by cognitive decline. In identifying behavioural factors associated with better cognitive ageing, such as social connections of traditional and online kinds, the paper raises possibilities of mustering an adequate response to the cognition challenge.</w:t>
      </w:r>
    </w:p>
    <w:p w:rsidR="009161A3" w:rsidRPr="001D13FD" w:rsidRDefault="009161A3" w:rsidP="00480392">
      <w:pPr>
        <w:tabs>
          <w:tab w:val="center" w:pos="4800"/>
          <w:tab w:val="right" w:pos="9500"/>
        </w:tabs>
        <w:jc w:val="both"/>
        <w:rPr>
          <w:rFonts w:ascii="Times New Roman" w:hAnsi="Times New Roman" w:cs="Times New Roman"/>
          <w:noProof/>
        </w:rPr>
      </w:pPr>
    </w:p>
    <w:p w:rsidR="009161A3" w:rsidRPr="001D13FD" w:rsidRDefault="009161A3" w:rsidP="005A4358">
      <w:pPr>
        <w:tabs>
          <w:tab w:val="center" w:pos="4800"/>
          <w:tab w:val="right" w:pos="9500"/>
        </w:tabs>
        <w:rPr>
          <w:rFonts w:ascii="Times New Roman" w:hAnsi="Times New Roman" w:cs="Times New Roman"/>
          <w:b/>
          <w:noProof/>
        </w:rPr>
      </w:pPr>
      <w:r w:rsidRPr="001D13FD">
        <w:rPr>
          <w:rFonts w:ascii="Times New Roman" w:hAnsi="Times New Roman" w:cs="Times New Roman"/>
          <w:b/>
          <w:noProof/>
        </w:rPr>
        <w:t>Statistical analysis</w:t>
      </w:r>
    </w:p>
    <w:p w:rsidR="009161A3" w:rsidRPr="001D13FD" w:rsidRDefault="009161A3" w:rsidP="005A4358">
      <w:pPr>
        <w:tabs>
          <w:tab w:val="center" w:pos="4800"/>
          <w:tab w:val="right" w:pos="9500"/>
        </w:tabs>
        <w:jc w:val="both"/>
        <w:rPr>
          <w:rFonts w:ascii="Times New Roman" w:hAnsi="Times New Roman" w:cs="Times New Roman"/>
          <w:noProof/>
        </w:rPr>
      </w:pPr>
      <w:r w:rsidRPr="001D13FD">
        <w:rPr>
          <w:rFonts w:ascii="Times New Roman" w:hAnsi="Times New Roman" w:cs="Times New Roman"/>
          <w:noProof/>
        </w:rPr>
        <w:t>Longitudinal cognitive ageing studies face two major empirical issues: practice effect in cognitive testing and attrition. Following many excellent analyses of cognitive ageing in Britain and the US</w:t>
      </w:r>
      <w:r w:rsidR="00C763E0">
        <w:rPr>
          <w:rFonts w:ascii="Times New Roman" w:hAnsi="Times New Roman" w:cs="Times New Roman"/>
          <w:noProof/>
        </w:rPr>
        <w:t xml:space="preserve"> </w:t>
      </w:r>
      <w:r w:rsidR="00F260DE">
        <w:rPr>
          <w:rFonts w:ascii="Times New Roman" w:hAnsi="Times New Roman" w:cs="Times New Roman"/>
          <w:noProof/>
        </w:rPr>
        <w:t>(</w:t>
      </w:r>
      <w:r w:rsidR="00C763E0">
        <w:rPr>
          <w:rFonts w:ascii="Times New Roman" w:hAnsi="Times New Roman" w:cs="Times New Roman"/>
          <w:noProof/>
        </w:rPr>
        <w:t>McArdle et al 2007, Rabbitt et al 2001, 2004</w:t>
      </w:r>
      <w:r w:rsidR="00F260DE">
        <w:rPr>
          <w:rFonts w:ascii="Times New Roman" w:hAnsi="Times New Roman" w:cs="Times New Roman"/>
          <w:noProof/>
        </w:rPr>
        <w:t>)</w:t>
      </w:r>
      <w:r w:rsidRPr="001D13FD">
        <w:rPr>
          <w:rFonts w:ascii="Times New Roman" w:hAnsi="Times New Roman" w:cs="Times New Roman"/>
          <w:noProof/>
        </w:rPr>
        <w:t xml:space="preserve"> we first used maximum likelihood estimator of growth curve model with a missing at random assumption; this is variously known as random coefficients or mixed models. They are often used since they give consistent estimates if attritions are missing at random. This means that, given the observed history of covariates and dependent variables, those who left differ from those who stayed only in a random fashion</w:t>
      </w:r>
      <w:r w:rsidR="009C7C9D">
        <w:rPr>
          <w:rFonts w:ascii="Times New Roman" w:hAnsi="Times New Roman" w:cs="Times New Roman"/>
          <w:noProof/>
        </w:rPr>
        <w:t xml:space="preserve"> </w:t>
      </w:r>
      <w:r w:rsidR="00F260DE">
        <w:rPr>
          <w:rFonts w:ascii="Times New Roman" w:hAnsi="Times New Roman" w:cs="Times New Roman"/>
          <w:noProof/>
        </w:rPr>
        <w:t>(</w:t>
      </w:r>
      <w:r w:rsidR="00C763E0">
        <w:rPr>
          <w:rFonts w:ascii="Times New Roman" w:hAnsi="Times New Roman" w:cs="Times New Roman"/>
          <w:noProof/>
        </w:rPr>
        <w:t>Rabbitt et al 2001, 2004</w:t>
      </w:r>
      <w:r w:rsidR="00F260DE">
        <w:rPr>
          <w:rFonts w:ascii="Times New Roman" w:hAnsi="Times New Roman" w:cs="Times New Roman"/>
          <w:noProof/>
        </w:rPr>
        <w:t>)</w:t>
      </w:r>
      <w:r w:rsidRPr="001D13FD">
        <w:rPr>
          <w:rFonts w:ascii="Times New Roman" w:hAnsi="Times New Roman" w:cs="Times New Roman"/>
          <w:noProof/>
        </w:rPr>
        <w:t>.</w:t>
      </w:r>
    </w:p>
    <w:p w:rsidR="009161A3" w:rsidRPr="001D13FD" w:rsidRDefault="009161A3">
      <w:pPr>
        <w:tabs>
          <w:tab w:val="center" w:pos="4800"/>
          <w:tab w:val="right" w:pos="9500"/>
        </w:tabs>
        <w:ind w:firstLine="720"/>
        <w:jc w:val="both"/>
        <w:rPr>
          <w:rFonts w:ascii="Times New Roman" w:hAnsi="Times New Roman" w:cs="Times New Roman"/>
          <w:noProof/>
        </w:rPr>
      </w:pPr>
      <w:r w:rsidRPr="001D13FD">
        <w:rPr>
          <w:rFonts w:ascii="Times New Roman" w:hAnsi="Times New Roman" w:cs="Times New Roman"/>
          <w:noProof/>
        </w:rPr>
        <w:t>Episodic memory changes were modelled using a sequence of three models. In all models, practice effect was estimated by entering an indicator of repeat testing f</w:t>
      </w:r>
      <w:r w:rsidR="00410A20">
        <w:rPr>
          <w:rFonts w:ascii="Times New Roman" w:hAnsi="Times New Roman" w:cs="Times New Roman"/>
          <w:noProof/>
        </w:rPr>
        <w:t>ollowing the literature</w:t>
      </w:r>
      <w:r w:rsidR="009C7C9D">
        <w:rPr>
          <w:rFonts w:ascii="Times New Roman" w:hAnsi="Times New Roman" w:cs="Times New Roman"/>
          <w:noProof/>
        </w:rPr>
        <w:t xml:space="preserve"> </w:t>
      </w:r>
      <w:r w:rsidR="00F260DE">
        <w:rPr>
          <w:rFonts w:ascii="Times New Roman" w:hAnsi="Times New Roman" w:cs="Times New Roman"/>
          <w:noProof/>
        </w:rPr>
        <w:t>(</w:t>
      </w:r>
      <w:r w:rsidR="00410A20">
        <w:rPr>
          <w:rFonts w:ascii="Times New Roman" w:hAnsi="Times New Roman" w:cs="Times New Roman"/>
          <w:noProof/>
        </w:rPr>
        <w:t xml:space="preserve">Rabbitt et al 2001, 2004, </w:t>
      </w:r>
      <w:r w:rsidR="004F2100">
        <w:rPr>
          <w:rFonts w:ascii="Times New Roman" w:hAnsi="Times New Roman" w:cs="Times New Roman"/>
          <w:noProof/>
        </w:rPr>
        <w:t xml:space="preserve">McArdle et al 2007, </w:t>
      </w:r>
      <w:r w:rsidR="00410A20">
        <w:rPr>
          <w:rFonts w:ascii="Times New Roman" w:hAnsi="Times New Roman" w:cs="Times New Roman"/>
          <w:noProof/>
        </w:rPr>
        <w:t>Karlamangla et al 2009</w:t>
      </w:r>
      <w:r w:rsidR="004F2100">
        <w:rPr>
          <w:rFonts w:ascii="Times New Roman" w:hAnsi="Times New Roman" w:cs="Times New Roman"/>
          <w:noProof/>
        </w:rPr>
        <w:t>,</w:t>
      </w:r>
      <w:r w:rsidR="004F2100" w:rsidRPr="004F2100">
        <w:rPr>
          <w:rFonts w:ascii="Times New Roman" w:hAnsi="Times New Roman" w:cs="Times New Roman"/>
          <w:noProof/>
        </w:rPr>
        <w:t xml:space="preserve"> </w:t>
      </w:r>
      <w:r w:rsidR="004F2100">
        <w:rPr>
          <w:rFonts w:ascii="Times New Roman" w:hAnsi="Times New Roman" w:cs="Times New Roman"/>
          <w:noProof/>
        </w:rPr>
        <w:t>Staff et al 2014</w:t>
      </w:r>
      <w:r w:rsidR="00F260DE">
        <w:rPr>
          <w:rFonts w:ascii="Times New Roman" w:hAnsi="Times New Roman" w:cs="Times New Roman"/>
          <w:noProof/>
        </w:rPr>
        <w:t>)</w:t>
      </w:r>
      <w:r w:rsidRPr="001D13FD">
        <w:rPr>
          <w:rFonts w:ascii="Times New Roman" w:hAnsi="Times New Roman" w:cs="Times New Roman"/>
          <w:noProof/>
        </w:rPr>
        <w:t>. This remains the first choice for an ongoing longitudinal ageing study such as ELSA.</w:t>
      </w:r>
    </w:p>
    <w:p w:rsidR="009161A3" w:rsidRPr="001D13FD" w:rsidRDefault="009161A3">
      <w:pPr>
        <w:tabs>
          <w:tab w:val="center" w:pos="4800"/>
          <w:tab w:val="right" w:pos="9500"/>
        </w:tabs>
        <w:ind w:firstLine="720"/>
        <w:jc w:val="both"/>
        <w:rPr>
          <w:rFonts w:ascii="Times New Roman" w:hAnsi="Times New Roman" w:cs="Times New Roman"/>
          <w:noProof/>
        </w:rPr>
      </w:pPr>
      <w:r w:rsidRPr="001D13FD">
        <w:rPr>
          <w:rFonts w:ascii="Times New Roman" w:hAnsi="Times New Roman" w:cs="Times New Roman"/>
          <w:noProof/>
        </w:rPr>
        <w:t>First, an initial model included age, squared age, sex, social determinants, chronic conditions and behavioural risk factors (</w:t>
      </w:r>
      <w:r w:rsidRPr="001D13FD">
        <w:rPr>
          <w:rFonts w:ascii="Times New Roman" w:hAnsi="Times New Roman" w:cs="Times New Roman"/>
          <w:i/>
          <w:iCs/>
          <w:noProof/>
        </w:rPr>
        <w:t>baseline model</w:t>
      </w:r>
      <w:r w:rsidRPr="001D13FD">
        <w:rPr>
          <w:rFonts w:ascii="Times New Roman" w:hAnsi="Times New Roman" w:cs="Times New Roman"/>
          <w:noProof/>
        </w:rPr>
        <w:t xml:space="preserve">); then cohort indicators were included in the </w:t>
      </w:r>
      <w:r w:rsidRPr="001D13FD">
        <w:rPr>
          <w:rFonts w:ascii="Times New Roman" w:hAnsi="Times New Roman" w:cs="Times New Roman"/>
          <w:i/>
          <w:iCs/>
          <w:noProof/>
        </w:rPr>
        <w:t>cohort model</w:t>
      </w:r>
      <w:r w:rsidRPr="001D13FD">
        <w:rPr>
          <w:rFonts w:ascii="Times New Roman" w:hAnsi="Times New Roman" w:cs="Times New Roman"/>
          <w:noProof/>
        </w:rPr>
        <w:t>.</w:t>
      </w:r>
    </w:p>
    <w:p w:rsidR="009161A3" w:rsidRDefault="009161A3">
      <w:pPr>
        <w:tabs>
          <w:tab w:val="center" w:pos="4800"/>
          <w:tab w:val="right" w:pos="9500"/>
        </w:tabs>
        <w:ind w:firstLine="720"/>
        <w:jc w:val="both"/>
        <w:rPr>
          <w:rFonts w:ascii="Times New Roman" w:hAnsi="Times New Roman" w:cs="Times New Roman"/>
          <w:noProof/>
        </w:rPr>
      </w:pPr>
      <w:r w:rsidRPr="001D13FD">
        <w:rPr>
          <w:rFonts w:ascii="Times New Roman" w:hAnsi="Times New Roman" w:cs="Times New Roman"/>
          <w:noProof/>
        </w:rPr>
        <w:t xml:space="preserve">We argued above that a </w:t>
      </w:r>
      <w:r w:rsidRPr="00557D07">
        <w:rPr>
          <w:rFonts w:ascii="Times New Roman" w:hAnsi="Times New Roman" w:cs="Times New Roman"/>
          <w:i/>
          <w:noProof/>
        </w:rPr>
        <w:t>joint model</w:t>
      </w:r>
      <w:r w:rsidRPr="001D13FD">
        <w:rPr>
          <w:rFonts w:ascii="Times New Roman" w:hAnsi="Times New Roman" w:cs="Times New Roman"/>
          <w:noProof/>
        </w:rPr>
        <w:t xml:space="preserve"> of cognition and attrition is needed</w:t>
      </w:r>
      <w:r w:rsidR="009C7C9D">
        <w:rPr>
          <w:rFonts w:ascii="Times New Roman" w:hAnsi="Times New Roman" w:cs="Times New Roman"/>
          <w:noProof/>
        </w:rPr>
        <w:t xml:space="preserve"> </w:t>
      </w:r>
      <w:r w:rsidR="00F260DE">
        <w:rPr>
          <w:rFonts w:ascii="Times New Roman" w:hAnsi="Times New Roman" w:cs="Times New Roman"/>
          <w:noProof/>
        </w:rPr>
        <w:t>(</w:t>
      </w:r>
      <w:r w:rsidR="00410A20">
        <w:rPr>
          <w:rFonts w:ascii="Times New Roman" w:hAnsi="Times New Roman" w:cs="Times New Roman"/>
          <w:noProof/>
        </w:rPr>
        <w:t>Rabbitt et al 2001,</w:t>
      </w:r>
      <w:r w:rsidRPr="001D13FD">
        <w:rPr>
          <w:rFonts w:ascii="Times New Roman" w:hAnsi="Times New Roman" w:cs="Times New Roman"/>
          <w:noProof/>
        </w:rPr>
        <w:t xml:space="preserve"> </w:t>
      </w:r>
      <w:r w:rsidR="00410A20">
        <w:rPr>
          <w:rFonts w:ascii="Times New Roman" w:hAnsi="Times New Roman" w:cs="Times New Roman"/>
          <w:noProof/>
        </w:rPr>
        <w:t>Graham et al 2011, Tampubolon 2015</w:t>
      </w:r>
      <w:r w:rsidR="00F260DE">
        <w:rPr>
          <w:rFonts w:ascii="Times New Roman" w:hAnsi="Times New Roman" w:cs="Times New Roman"/>
          <w:noProof/>
        </w:rPr>
        <w:t>)</w:t>
      </w:r>
      <w:r w:rsidRPr="001D13FD">
        <w:rPr>
          <w:rFonts w:ascii="Times New Roman" w:hAnsi="Times New Roman" w:cs="Times New Roman"/>
          <w:noProof/>
        </w:rPr>
        <w:t xml:space="preserve">. Following a recent study which analysed this </w:t>
      </w:r>
      <w:r w:rsidRPr="001D13FD">
        <w:rPr>
          <w:rFonts w:ascii="Times New Roman" w:hAnsi="Times New Roman" w:cs="Times New Roman"/>
          <w:noProof/>
        </w:rPr>
        <w:lastRenderedPageBreak/>
        <w:t>ELSA sample using joint models</w:t>
      </w:r>
      <w:r w:rsidR="00410A20">
        <w:rPr>
          <w:rFonts w:ascii="Times New Roman" w:hAnsi="Times New Roman" w:cs="Times New Roman"/>
          <w:noProof/>
        </w:rPr>
        <w:t xml:space="preserve"> </w:t>
      </w:r>
      <w:r w:rsidR="00F260DE">
        <w:rPr>
          <w:rFonts w:ascii="Times New Roman" w:hAnsi="Times New Roman" w:cs="Times New Roman"/>
          <w:noProof/>
        </w:rPr>
        <w:t>(</w:t>
      </w:r>
      <w:r w:rsidR="00410A20">
        <w:rPr>
          <w:rFonts w:ascii="Times New Roman" w:hAnsi="Times New Roman" w:cs="Times New Roman"/>
          <w:noProof/>
        </w:rPr>
        <w:t>Tampubolon 2015</w:t>
      </w:r>
      <w:r w:rsidR="00F260DE">
        <w:rPr>
          <w:rFonts w:ascii="Times New Roman" w:hAnsi="Times New Roman" w:cs="Times New Roman"/>
          <w:noProof/>
        </w:rPr>
        <w:t>)</w:t>
      </w:r>
      <w:r w:rsidRPr="001D13FD">
        <w:rPr>
          <w:rFonts w:ascii="Times New Roman" w:hAnsi="Times New Roman" w:cs="Times New Roman"/>
          <w:noProof/>
        </w:rPr>
        <w:t>, we used joint models where the random effects (</w:t>
      </w:r>
      <w:r w:rsidRPr="001D13FD">
        <w:rPr>
          <w:rFonts w:ascii="Times New Roman" w:hAnsi="Times New Roman" w:cs="Times New Roman"/>
          <w:noProof/>
          <w:position w:val="-6"/>
        </w:rPr>
        <w:object w:dxaOrig="200" w:dyaOrig="279">
          <v:shape id="_x0000_i1026" type="#_x0000_t75" style="width:10.2pt;height:14.25pt" o:ole="">
            <v:imagedata r:id="rId10" o:title=""/>
          </v:shape>
          <o:OLEObject Type="Embed" ProgID="Equation.3" ShapeID="_x0000_i1026" DrawAspect="Content" ObjectID="_1510730718" r:id="rId11"/>
        </w:object>
      </w:r>
      <w:r w:rsidRPr="001D13FD">
        <w:rPr>
          <w:rFonts w:ascii="Times New Roman" w:hAnsi="Times New Roman" w:cs="Times New Roman"/>
          <w:noProof/>
        </w:rPr>
        <w:t xml:space="preserve">(.) below) influence both episodic memory, </w:t>
      </w:r>
      <w:r w:rsidRPr="001D13FD">
        <w:rPr>
          <w:rFonts w:ascii="Times New Roman" w:hAnsi="Times New Roman" w:cs="Times New Roman"/>
          <w:noProof/>
          <w:position w:val="-10"/>
        </w:rPr>
        <w:object w:dxaOrig="220" w:dyaOrig="260">
          <v:shape id="_x0000_i1027" type="#_x0000_t75" style="width:10.85pt;height:12.9pt" o:ole="">
            <v:imagedata r:id="rId12" o:title=""/>
          </v:shape>
          <o:OLEObject Type="Embed" ProgID="Equation.3" ShapeID="_x0000_i1027" DrawAspect="Content" ObjectID="_1510730719" r:id="rId13"/>
        </w:object>
      </w:r>
      <w:r w:rsidRPr="001D13FD">
        <w:rPr>
          <w:rFonts w:ascii="Times New Roman" w:hAnsi="Times New Roman" w:cs="Times New Roman"/>
          <w:noProof/>
        </w:rPr>
        <w:t xml:space="preserve">, and attrition, </w:t>
      </w:r>
      <w:r w:rsidRPr="001D13FD">
        <w:rPr>
          <w:rFonts w:ascii="Times New Roman" w:hAnsi="Times New Roman" w:cs="Times New Roman"/>
          <w:noProof/>
          <w:position w:val="-6"/>
        </w:rPr>
        <w:object w:dxaOrig="139" w:dyaOrig="240">
          <v:shape id="_x0000_i1028" type="#_x0000_t75" style="width:6.8pt;height:12.25pt" o:ole="">
            <v:imagedata r:id="rId14" o:title=""/>
          </v:shape>
          <o:OLEObject Type="Embed" ProgID="Equation.3" ShapeID="_x0000_i1028" DrawAspect="Content" ObjectID="_1510730720" r:id="rId15"/>
        </w:object>
      </w:r>
      <w:r w:rsidRPr="001D13FD">
        <w:rPr>
          <w:rFonts w:ascii="Times New Roman" w:hAnsi="Times New Roman" w:cs="Times New Roman"/>
          <w:noProof/>
        </w:rPr>
        <w:t>; given these, episodic memory and attrition are independent. One part of the joint model is made up of the growth curve model (</w:t>
      </w:r>
      <w:r w:rsidRPr="001D13FD">
        <w:rPr>
          <w:rFonts w:ascii="Times New Roman" w:hAnsi="Times New Roman" w:cs="Times New Roman"/>
          <w:noProof/>
          <w:position w:val="-10"/>
        </w:rPr>
        <w:object w:dxaOrig="240" w:dyaOrig="320">
          <v:shape id="_x0000_i1029" type="#_x0000_t75" style="width:12.25pt;height:16.3pt" o:ole="">
            <v:imagedata r:id="rId16" o:title=""/>
          </v:shape>
          <o:OLEObject Type="Embed" ProgID="Equation.3" ShapeID="_x0000_i1029" DrawAspect="Content" ObjectID="_1510730721" r:id="rId17"/>
        </w:object>
      </w:r>
      <w:r w:rsidRPr="001D13FD">
        <w:rPr>
          <w:rFonts w:ascii="Times New Roman" w:hAnsi="Times New Roman" w:cs="Times New Roman"/>
          <w:noProof/>
        </w:rPr>
        <w:t>(.)); the other part is a survival model (</w:t>
      </w:r>
      <w:r w:rsidRPr="001D13FD">
        <w:rPr>
          <w:rFonts w:ascii="Times New Roman" w:hAnsi="Times New Roman" w:cs="Times New Roman"/>
          <w:noProof/>
          <w:position w:val="-10"/>
        </w:rPr>
        <w:object w:dxaOrig="220" w:dyaOrig="260">
          <v:shape id="_x0000_i1030" type="#_x0000_t75" style="width:10.85pt;height:12.9pt" o:ole="">
            <v:imagedata r:id="rId18" o:title=""/>
          </v:shape>
          <o:OLEObject Type="Embed" ProgID="Equation.3" ShapeID="_x0000_i1030" DrawAspect="Content" ObjectID="_1510730722" r:id="rId19"/>
        </w:object>
      </w:r>
      <w:r w:rsidRPr="001D13FD">
        <w:rPr>
          <w:rFonts w:ascii="Times New Roman" w:hAnsi="Times New Roman" w:cs="Times New Roman"/>
          <w:noProof/>
        </w:rPr>
        <w:t>(.)) with sex, age polynomial of degree three and the random intercepts from part one. The likelihood is</w:t>
      </w:r>
      <w:r w:rsidR="009C7C9D">
        <w:rPr>
          <w:rFonts w:ascii="Times New Roman" w:hAnsi="Times New Roman" w:cs="Times New Roman"/>
          <w:noProof/>
        </w:rPr>
        <w:t xml:space="preserve"> </w:t>
      </w:r>
      <w:r w:rsidR="00F260DE">
        <w:rPr>
          <w:rFonts w:ascii="Times New Roman" w:hAnsi="Times New Roman" w:cs="Times New Roman"/>
          <w:noProof/>
        </w:rPr>
        <w:t>(</w:t>
      </w:r>
      <w:r w:rsidR="00410A20">
        <w:rPr>
          <w:rFonts w:ascii="Times New Roman" w:hAnsi="Times New Roman" w:cs="Times New Roman"/>
          <w:noProof/>
        </w:rPr>
        <w:t>Graham et al 2011, Tampubolon 2015</w:t>
      </w:r>
      <w:r w:rsidR="00F260DE">
        <w:rPr>
          <w:rFonts w:ascii="Times New Roman" w:hAnsi="Times New Roman" w:cs="Times New Roman"/>
          <w:noProof/>
        </w:rPr>
        <w:t>)</w:t>
      </w:r>
      <w:r>
        <w:rPr>
          <w:noProof/>
        </w:rPr>
        <w:t xml:space="preserve"> </w:t>
      </w:r>
    </w:p>
    <w:p w:rsidR="009161A3" w:rsidRDefault="009161A3">
      <w:pPr>
        <w:tabs>
          <w:tab w:val="center" w:pos="4800"/>
          <w:tab w:val="right" w:pos="9500"/>
        </w:tabs>
        <w:ind w:firstLine="720"/>
        <w:rPr>
          <w:rFonts w:ascii="Times New Roman" w:hAnsi="Times New Roman" w:cs="Times New Roman"/>
          <w:noProof/>
        </w:rPr>
      </w:pPr>
      <w:r>
        <w:rPr>
          <w:noProof/>
        </w:rPr>
        <w:tab/>
      </w:r>
      <w:r>
        <w:rPr>
          <w:noProof/>
          <w:position w:val="-16"/>
        </w:rPr>
        <w:object w:dxaOrig="3640" w:dyaOrig="440">
          <v:shape id="_x0000_i1031" type="#_x0000_t75" style="width:182.05pt;height:21.75pt" o:ole="">
            <v:imagedata r:id="rId20" o:title=""/>
          </v:shape>
          <o:OLEObject Type="Embed" ProgID="Equation.3" ShapeID="_x0000_i1031" DrawAspect="Content" ObjectID="_1510730723" r:id="rId21"/>
        </w:object>
      </w:r>
      <w:r>
        <w:rPr>
          <w:noProof/>
        </w:rPr>
        <w:tab/>
        <w:t>(1)</w:t>
      </w:r>
    </w:p>
    <w:p w:rsidR="009161A3" w:rsidRDefault="009161A3">
      <w:pPr>
        <w:tabs>
          <w:tab w:val="center" w:pos="4800"/>
          <w:tab w:val="right" w:pos="9500"/>
        </w:tabs>
        <w:jc w:val="both"/>
        <w:rPr>
          <w:rFonts w:ascii="Times New Roman" w:hAnsi="Times New Roman" w:cs="Times New Roman"/>
          <w:noProof/>
        </w:rPr>
      </w:pPr>
    </w:p>
    <w:p w:rsidR="009161A3" w:rsidRPr="001D13FD" w:rsidRDefault="009161A3">
      <w:pPr>
        <w:tabs>
          <w:tab w:val="center" w:pos="4800"/>
          <w:tab w:val="right" w:pos="9500"/>
        </w:tabs>
        <w:ind w:firstLine="720"/>
        <w:jc w:val="both"/>
        <w:rPr>
          <w:rFonts w:ascii="Times New Roman" w:hAnsi="Times New Roman" w:cs="Times New Roman"/>
          <w:noProof/>
        </w:rPr>
      </w:pPr>
      <w:r w:rsidRPr="001D13FD">
        <w:rPr>
          <w:rFonts w:ascii="Times New Roman" w:hAnsi="Times New Roman" w:cs="Times New Roman"/>
          <w:noProof/>
        </w:rPr>
        <w:t>Joint models have been found to give robust estimates of cognitive ageing in Australia</w:t>
      </w:r>
      <w:r w:rsidR="009C7C9D">
        <w:rPr>
          <w:rFonts w:ascii="Times New Roman" w:hAnsi="Times New Roman" w:cs="Times New Roman"/>
          <w:noProof/>
        </w:rPr>
        <w:t xml:space="preserve"> </w:t>
      </w:r>
      <w:r w:rsidR="00F260DE">
        <w:rPr>
          <w:rFonts w:ascii="Times New Roman" w:hAnsi="Times New Roman" w:cs="Times New Roman"/>
          <w:noProof/>
        </w:rPr>
        <w:t>(</w:t>
      </w:r>
      <w:r w:rsidR="00410A20">
        <w:rPr>
          <w:rFonts w:ascii="Times New Roman" w:hAnsi="Times New Roman" w:cs="Times New Roman"/>
          <w:noProof/>
        </w:rPr>
        <w:t>Graham et al 2011</w:t>
      </w:r>
      <w:r w:rsidR="00F260DE">
        <w:rPr>
          <w:rFonts w:ascii="Times New Roman" w:hAnsi="Times New Roman" w:cs="Times New Roman"/>
          <w:noProof/>
        </w:rPr>
        <w:t>)</w:t>
      </w:r>
      <w:r w:rsidRPr="001D13FD">
        <w:rPr>
          <w:rFonts w:ascii="Times New Roman" w:hAnsi="Times New Roman" w:cs="Times New Roman"/>
          <w:noProof/>
        </w:rPr>
        <w:t>. Joint models with similar specification have been successfully applied to this sample in explaining older Britons' quality of life</w:t>
      </w:r>
      <w:r w:rsidR="009C7C9D">
        <w:rPr>
          <w:rFonts w:ascii="Times New Roman" w:hAnsi="Times New Roman" w:cs="Times New Roman"/>
          <w:noProof/>
        </w:rPr>
        <w:t xml:space="preserve"> </w:t>
      </w:r>
      <w:r w:rsidR="00F260DE">
        <w:rPr>
          <w:rFonts w:ascii="Times New Roman" w:hAnsi="Times New Roman" w:cs="Times New Roman"/>
          <w:noProof/>
        </w:rPr>
        <w:t>(</w:t>
      </w:r>
      <w:r w:rsidR="00410A20">
        <w:rPr>
          <w:rFonts w:ascii="Times New Roman" w:hAnsi="Times New Roman" w:cs="Times New Roman"/>
          <w:noProof/>
        </w:rPr>
        <w:t>Tampubolon 2015</w:t>
      </w:r>
      <w:r w:rsidR="00F260DE">
        <w:rPr>
          <w:rFonts w:ascii="Times New Roman" w:hAnsi="Times New Roman" w:cs="Times New Roman"/>
          <w:noProof/>
        </w:rPr>
        <w:t>)</w:t>
      </w:r>
      <w:r w:rsidRPr="001D13FD">
        <w:rPr>
          <w:rFonts w:ascii="Times New Roman" w:hAnsi="Times New Roman" w:cs="Times New Roman"/>
          <w:noProof/>
        </w:rPr>
        <w:t xml:space="preserve">. The robustness of the </w:t>
      </w:r>
      <w:r w:rsidRPr="001D13FD">
        <w:rPr>
          <w:rFonts w:ascii="Times New Roman" w:hAnsi="Times New Roman" w:cs="Times New Roman"/>
          <w:i/>
          <w:iCs/>
          <w:noProof/>
        </w:rPr>
        <w:t>cohort model</w:t>
      </w:r>
      <w:r w:rsidRPr="001D13FD">
        <w:rPr>
          <w:rFonts w:ascii="Times New Roman" w:hAnsi="Times New Roman" w:cs="Times New Roman"/>
          <w:noProof/>
        </w:rPr>
        <w:t xml:space="preserve"> to attrition can be readily assessed by comparing its results with that of the </w:t>
      </w:r>
      <w:r w:rsidRPr="001D13FD">
        <w:rPr>
          <w:rFonts w:ascii="Times New Roman" w:hAnsi="Times New Roman" w:cs="Times New Roman"/>
          <w:i/>
          <w:iCs/>
          <w:noProof/>
        </w:rPr>
        <w:t>joint model</w:t>
      </w:r>
      <w:r w:rsidRPr="001D13FD">
        <w:rPr>
          <w:rFonts w:ascii="Times New Roman" w:hAnsi="Times New Roman" w:cs="Times New Roman"/>
          <w:noProof/>
        </w:rPr>
        <w:t>.</w:t>
      </w:r>
    </w:p>
    <w:p w:rsidR="009161A3" w:rsidRPr="001D13FD" w:rsidRDefault="009161A3" w:rsidP="00410A20">
      <w:pPr>
        <w:tabs>
          <w:tab w:val="center" w:pos="4800"/>
          <w:tab w:val="right" w:pos="9500"/>
        </w:tabs>
        <w:jc w:val="both"/>
        <w:rPr>
          <w:rFonts w:ascii="Times New Roman" w:hAnsi="Times New Roman" w:cs="Times New Roman"/>
          <w:noProof/>
        </w:rPr>
      </w:pPr>
    </w:p>
    <w:p w:rsidR="009161A3" w:rsidRPr="00A80C7A" w:rsidRDefault="009161A3" w:rsidP="001D7677">
      <w:pPr>
        <w:tabs>
          <w:tab w:val="center" w:pos="4800"/>
          <w:tab w:val="right" w:pos="9500"/>
        </w:tabs>
        <w:rPr>
          <w:rFonts w:ascii="Times New Roman" w:hAnsi="Times New Roman" w:cs="Times New Roman"/>
          <w:b/>
          <w:noProof/>
        </w:rPr>
      </w:pPr>
      <w:r w:rsidRPr="00A80C7A">
        <w:rPr>
          <w:rFonts w:ascii="Times New Roman" w:hAnsi="Times New Roman" w:cs="Times New Roman"/>
          <w:b/>
          <w:noProof/>
        </w:rPr>
        <w:t xml:space="preserve">References </w:t>
      </w:r>
    </w:p>
    <w:p w:rsidR="00F661A4" w:rsidRPr="001D13FD" w:rsidRDefault="00F661A4" w:rsidP="00F661A4">
      <w:pPr>
        <w:tabs>
          <w:tab w:val="center" w:pos="4800"/>
          <w:tab w:val="right" w:pos="9500"/>
        </w:tabs>
        <w:ind w:left="284" w:hanging="284"/>
        <w:rPr>
          <w:rFonts w:ascii="Times New Roman" w:hAnsi="Times New Roman" w:cs="Times New Roman"/>
          <w:noProof/>
        </w:rPr>
      </w:pPr>
      <w:r w:rsidRPr="001D13FD">
        <w:rPr>
          <w:rFonts w:ascii="Times New Roman" w:hAnsi="Times New Roman" w:cs="Times New Roman"/>
          <w:noProof/>
        </w:rPr>
        <w:t>Petra L. Graham</w:t>
      </w:r>
      <w:r>
        <w:rPr>
          <w:rFonts w:ascii="Times New Roman" w:hAnsi="Times New Roman" w:cs="Times New Roman"/>
          <w:noProof/>
        </w:rPr>
        <w:t>,</w:t>
      </w:r>
      <w:r w:rsidRPr="001D13FD">
        <w:rPr>
          <w:rFonts w:ascii="Times New Roman" w:hAnsi="Times New Roman" w:cs="Times New Roman"/>
          <w:noProof/>
        </w:rPr>
        <w:t xml:space="preserve"> Louise M. Ryan and Mary A. Luszcz.  Joint modelling of survival and cognitive decline in the Australian Longitudinal Study of Ageing. </w:t>
      </w:r>
      <w:r w:rsidRPr="007C153F">
        <w:rPr>
          <w:rFonts w:ascii="Times New Roman" w:hAnsi="Times New Roman" w:cs="Times New Roman"/>
          <w:noProof/>
        </w:rPr>
        <w:t xml:space="preserve"> </w:t>
      </w:r>
      <w:r w:rsidRPr="00C506F2">
        <w:rPr>
          <w:rFonts w:ascii="Times New Roman" w:hAnsi="Times New Roman" w:cs="Times New Roman"/>
          <w:i/>
          <w:iCs/>
          <w:noProof/>
        </w:rPr>
        <w:t>Journal of the Royal Statistical Society, Series C</w:t>
      </w:r>
      <w:r w:rsidRPr="001D13FD">
        <w:rPr>
          <w:rFonts w:ascii="Times New Roman" w:hAnsi="Times New Roman" w:cs="Times New Roman"/>
          <w:noProof/>
        </w:rPr>
        <w:t xml:space="preserve">, 60(2):221-238, 2011. </w:t>
      </w:r>
    </w:p>
    <w:p w:rsidR="00F661A4" w:rsidRPr="001D13FD" w:rsidRDefault="00F661A4" w:rsidP="00F661A4">
      <w:pPr>
        <w:tabs>
          <w:tab w:val="center" w:pos="4800"/>
          <w:tab w:val="right" w:pos="9500"/>
        </w:tabs>
        <w:ind w:left="284" w:hanging="284"/>
        <w:rPr>
          <w:rFonts w:ascii="Times New Roman" w:hAnsi="Times New Roman" w:cs="Times New Roman"/>
          <w:noProof/>
        </w:rPr>
      </w:pPr>
      <w:r w:rsidRPr="001D13FD">
        <w:rPr>
          <w:rFonts w:ascii="Times New Roman" w:hAnsi="Times New Roman" w:cs="Times New Roman"/>
          <w:noProof/>
        </w:rPr>
        <w:t>Arun S. Karlamangla</w:t>
      </w:r>
      <w:r>
        <w:rPr>
          <w:rFonts w:ascii="Times New Roman" w:hAnsi="Times New Roman" w:cs="Times New Roman"/>
          <w:noProof/>
        </w:rPr>
        <w:t>,</w:t>
      </w:r>
      <w:r w:rsidRPr="001D13FD">
        <w:rPr>
          <w:rFonts w:ascii="Times New Roman" w:hAnsi="Times New Roman" w:cs="Times New Roman"/>
          <w:noProof/>
        </w:rPr>
        <w:t xml:space="preserve"> Dana Miller-Martinez</w:t>
      </w:r>
      <w:r>
        <w:rPr>
          <w:rFonts w:ascii="Times New Roman" w:hAnsi="Times New Roman" w:cs="Times New Roman"/>
          <w:noProof/>
        </w:rPr>
        <w:t>,</w:t>
      </w:r>
      <w:r w:rsidRPr="001D13FD">
        <w:rPr>
          <w:rFonts w:ascii="Times New Roman" w:hAnsi="Times New Roman" w:cs="Times New Roman"/>
          <w:noProof/>
        </w:rPr>
        <w:t xml:space="preserve"> Carol S. Aneshensel</w:t>
      </w:r>
      <w:r>
        <w:rPr>
          <w:rFonts w:ascii="Times New Roman" w:hAnsi="Times New Roman" w:cs="Times New Roman"/>
          <w:noProof/>
        </w:rPr>
        <w:t>,</w:t>
      </w:r>
      <w:r w:rsidRPr="001D13FD">
        <w:rPr>
          <w:rFonts w:ascii="Times New Roman" w:hAnsi="Times New Roman" w:cs="Times New Roman"/>
          <w:noProof/>
        </w:rPr>
        <w:t xml:space="preserve"> Teresa E. Seeman</w:t>
      </w:r>
      <w:r>
        <w:rPr>
          <w:rFonts w:ascii="Times New Roman" w:hAnsi="Times New Roman" w:cs="Times New Roman"/>
          <w:noProof/>
        </w:rPr>
        <w:t>,</w:t>
      </w:r>
      <w:r w:rsidRPr="001D13FD">
        <w:rPr>
          <w:rFonts w:ascii="Times New Roman" w:hAnsi="Times New Roman" w:cs="Times New Roman"/>
          <w:noProof/>
        </w:rPr>
        <w:t xml:space="preserve"> Richard G. Wight and Joshua Chodosh.  Trajectories of cognitive function in late life in the United States: Demographic and socioeconomic predictors. </w:t>
      </w:r>
      <w:r w:rsidRPr="007C153F">
        <w:rPr>
          <w:rFonts w:ascii="Times New Roman" w:hAnsi="Times New Roman" w:cs="Times New Roman"/>
          <w:noProof/>
        </w:rPr>
        <w:t xml:space="preserve"> </w:t>
      </w:r>
      <w:r w:rsidRPr="00C506F2">
        <w:rPr>
          <w:rFonts w:ascii="Times New Roman" w:hAnsi="Times New Roman" w:cs="Times New Roman"/>
          <w:i/>
          <w:iCs/>
          <w:noProof/>
        </w:rPr>
        <w:t>American Journal of Epidemiology</w:t>
      </w:r>
      <w:r w:rsidRPr="001D13FD">
        <w:rPr>
          <w:rFonts w:ascii="Times New Roman" w:hAnsi="Times New Roman" w:cs="Times New Roman"/>
          <w:noProof/>
        </w:rPr>
        <w:t xml:space="preserve">, 170(3):331-342, 2009. </w:t>
      </w:r>
    </w:p>
    <w:p w:rsidR="009161A3" w:rsidRPr="001D13FD" w:rsidRDefault="009161A3" w:rsidP="007C153F">
      <w:pPr>
        <w:tabs>
          <w:tab w:val="center" w:pos="4800"/>
          <w:tab w:val="right" w:pos="9500"/>
        </w:tabs>
        <w:ind w:left="284" w:hanging="284"/>
        <w:rPr>
          <w:rFonts w:ascii="Times New Roman" w:hAnsi="Times New Roman" w:cs="Times New Roman"/>
          <w:noProof/>
        </w:rPr>
      </w:pPr>
      <w:r w:rsidRPr="001D13FD">
        <w:rPr>
          <w:rFonts w:ascii="Times New Roman" w:hAnsi="Times New Roman" w:cs="Times New Roman"/>
          <w:noProof/>
        </w:rPr>
        <w:t>John J. McArdle</w:t>
      </w:r>
      <w:r w:rsidR="00F661A4">
        <w:rPr>
          <w:rFonts w:ascii="Times New Roman" w:hAnsi="Times New Roman" w:cs="Times New Roman"/>
          <w:noProof/>
        </w:rPr>
        <w:t>,</w:t>
      </w:r>
      <w:r w:rsidRPr="001D13FD">
        <w:rPr>
          <w:rFonts w:ascii="Times New Roman" w:hAnsi="Times New Roman" w:cs="Times New Roman"/>
          <w:noProof/>
        </w:rPr>
        <w:t xml:space="preserve"> Gwenith G. Fisher and Kelly M. Kadlec.  Latent variable analyses of age trends of cognition in the Health and Retirement Study, 1992-2004. </w:t>
      </w:r>
      <w:r w:rsidRPr="001D13FD">
        <w:rPr>
          <w:rFonts w:ascii="Times New Roman" w:hAnsi="Times New Roman" w:cs="Times New Roman"/>
          <w:i/>
          <w:iCs/>
          <w:noProof/>
        </w:rPr>
        <w:t xml:space="preserve"> Psychology and Aging</w:t>
      </w:r>
      <w:r w:rsidRPr="001D13FD">
        <w:rPr>
          <w:rFonts w:ascii="Times New Roman" w:hAnsi="Times New Roman" w:cs="Times New Roman"/>
          <w:noProof/>
        </w:rPr>
        <w:t xml:space="preserve">, 22(3):525-545, 2007. </w:t>
      </w:r>
    </w:p>
    <w:p w:rsidR="009161A3" w:rsidRPr="001D13FD" w:rsidRDefault="009161A3" w:rsidP="007C153F">
      <w:pPr>
        <w:tabs>
          <w:tab w:val="center" w:pos="4800"/>
          <w:tab w:val="right" w:pos="9500"/>
        </w:tabs>
        <w:ind w:left="284" w:hanging="284"/>
        <w:rPr>
          <w:rFonts w:ascii="Times New Roman" w:hAnsi="Times New Roman" w:cs="Times New Roman"/>
          <w:noProof/>
        </w:rPr>
      </w:pPr>
      <w:r w:rsidRPr="001D13FD">
        <w:rPr>
          <w:rFonts w:ascii="Times New Roman" w:hAnsi="Times New Roman" w:cs="Times New Roman"/>
          <w:noProof/>
        </w:rPr>
        <w:t>Patrick Rabbitt</w:t>
      </w:r>
      <w:r w:rsidR="00F661A4">
        <w:rPr>
          <w:rFonts w:ascii="Times New Roman" w:hAnsi="Times New Roman" w:cs="Times New Roman"/>
          <w:noProof/>
        </w:rPr>
        <w:t>,</w:t>
      </w:r>
      <w:r w:rsidRPr="001D13FD">
        <w:rPr>
          <w:rFonts w:ascii="Times New Roman" w:hAnsi="Times New Roman" w:cs="Times New Roman"/>
          <w:noProof/>
        </w:rPr>
        <w:t xml:space="preserve"> Peter Diggle</w:t>
      </w:r>
      <w:r w:rsidR="00F661A4">
        <w:rPr>
          <w:rFonts w:ascii="Times New Roman" w:hAnsi="Times New Roman" w:cs="Times New Roman"/>
          <w:noProof/>
        </w:rPr>
        <w:t>,</w:t>
      </w:r>
      <w:r w:rsidRPr="001D13FD">
        <w:rPr>
          <w:rFonts w:ascii="Times New Roman" w:hAnsi="Times New Roman" w:cs="Times New Roman"/>
          <w:noProof/>
        </w:rPr>
        <w:t xml:space="preserve"> Fiona Holland and Lynn McInnes.  Practice and drop-out effects during a 17-year longitudinal study of cognitive aging. </w:t>
      </w:r>
      <w:r w:rsidRPr="007C153F">
        <w:rPr>
          <w:rFonts w:ascii="Times New Roman" w:hAnsi="Times New Roman" w:cs="Times New Roman"/>
          <w:noProof/>
        </w:rPr>
        <w:t xml:space="preserve"> </w:t>
      </w:r>
      <w:r w:rsidRPr="00C506F2">
        <w:rPr>
          <w:rFonts w:ascii="Times New Roman" w:hAnsi="Times New Roman" w:cs="Times New Roman"/>
          <w:i/>
          <w:iCs/>
          <w:noProof/>
        </w:rPr>
        <w:t>The Journals of Gerontology Series B: Psychological Sciences and Social Sciences</w:t>
      </w:r>
      <w:r w:rsidRPr="001D13FD">
        <w:rPr>
          <w:rFonts w:ascii="Times New Roman" w:hAnsi="Times New Roman" w:cs="Times New Roman"/>
          <w:noProof/>
        </w:rPr>
        <w:t xml:space="preserve">, 59(2):P84-P97, 2004. </w:t>
      </w:r>
    </w:p>
    <w:p w:rsidR="009161A3" w:rsidRPr="001D13FD" w:rsidRDefault="009161A3" w:rsidP="007C153F">
      <w:pPr>
        <w:tabs>
          <w:tab w:val="center" w:pos="4800"/>
          <w:tab w:val="right" w:pos="9500"/>
        </w:tabs>
        <w:ind w:left="284" w:hanging="284"/>
        <w:rPr>
          <w:rFonts w:ascii="Times New Roman" w:hAnsi="Times New Roman" w:cs="Times New Roman"/>
          <w:noProof/>
        </w:rPr>
      </w:pPr>
      <w:r w:rsidRPr="001D13FD">
        <w:rPr>
          <w:rFonts w:ascii="Times New Roman" w:hAnsi="Times New Roman" w:cs="Times New Roman"/>
          <w:noProof/>
        </w:rPr>
        <w:t>Patrick Rabbitt</w:t>
      </w:r>
      <w:r w:rsidR="00F661A4">
        <w:rPr>
          <w:rFonts w:ascii="Times New Roman" w:hAnsi="Times New Roman" w:cs="Times New Roman"/>
          <w:noProof/>
        </w:rPr>
        <w:t>,</w:t>
      </w:r>
      <w:r w:rsidRPr="001D13FD">
        <w:rPr>
          <w:rFonts w:ascii="Times New Roman" w:hAnsi="Times New Roman" w:cs="Times New Roman"/>
          <w:noProof/>
        </w:rPr>
        <w:t xml:space="preserve"> Peter Diggle</w:t>
      </w:r>
      <w:r w:rsidR="00F661A4">
        <w:rPr>
          <w:rFonts w:ascii="Times New Roman" w:hAnsi="Times New Roman" w:cs="Times New Roman"/>
          <w:noProof/>
        </w:rPr>
        <w:t>,</w:t>
      </w:r>
      <w:r w:rsidRPr="001D13FD">
        <w:rPr>
          <w:rFonts w:ascii="Times New Roman" w:hAnsi="Times New Roman" w:cs="Times New Roman"/>
          <w:noProof/>
        </w:rPr>
        <w:t xml:space="preserve"> David Smith</w:t>
      </w:r>
      <w:r w:rsidR="00F661A4">
        <w:rPr>
          <w:rFonts w:ascii="Times New Roman" w:hAnsi="Times New Roman" w:cs="Times New Roman"/>
          <w:noProof/>
        </w:rPr>
        <w:t>,</w:t>
      </w:r>
      <w:r w:rsidRPr="001D13FD">
        <w:rPr>
          <w:rFonts w:ascii="Times New Roman" w:hAnsi="Times New Roman" w:cs="Times New Roman"/>
          <w:noProof/>
        </w:rPr>
        <w:t xml:space="preserve"> Fiona Holland and Lynn Mc Innes.  Identifying and separating the effects of practice and of cognitive ageing during a large longitudinal study of elderly community residents. </w:t>
      </w:r>
      <w:r w:rsidRPr="007C153F">
        <w:rPr>
          <w:rFonts w:ascii="Times New Roman" w:hAnsi="Times New Roman" w:cs="Times New Roman"/>
          <w:noProof/>
        </w:rPr>
        <w:t xml:space="preserve"> </w:t>
      </w:r>
      <w:r w:rsidRPr="00C506F2">
        <w:rPr>
          <w:rFonts w:ascii="Times New Roman" w:hAnsi="Times New Roman" w:cs="Times New Roman"/>
          <w:i/>
          <w:iCs/>
          <w:noProof/>
        </w:rPr>
        <w:t>Neuropsychologia</w:t>
      </w:r>
      <w:r w:rsidRPr="001D13FD">
        <w:rPr>
          <w:rFonts w:ascii="Times New Roman" w:hAnsi="Times New Roman" w:cs="Times New Roman"/>
          <w:noProof/>
        </w:rPr>
        <w:t xml:space="preserve">, 39(5):532 - 543, 2001. </w:t>
      </w:r>
    </w:p>
    <w:p w:rsidR="009161A3" w:rsidRPr="001D13FD" w:rsidRDefault="009161A3" w:rsidP="007C153F">
      <w:pPr>
        <w:tabs>
          <w:tab w:val="center" w:pos="4800"/>
          <w:tab w:val="right" w:pos="9500"/>
        </w:tabs>
        <w:ind w:left="284" w:hanging="284"/>
        <w:rPr>
          <w:rFonts w:ascii="Times New Roman" w:hAnsi="Times New Roman" w:cs="Times New Roman"/>
          <w:noProof/>
        </w:rPr>
      </w:pPr>
      <w:r w:rsidRPr="001D13FD">
        <w:rPr>
          <w:rFonts w:ascii="Times New Roman" w:hAnsi="Times New Roman" w:cs="Times New Roman"/>
          <w:noProof/>
        </w:rPr>
        <w:t>Roger T. Staff</w:t>
      </w:r>
      <w:r w:rsidR="00F661A4">
        <w:rPr>
          <w:rFonts w:ascii="Times New Roman" w:hAnsi="Times New Roman" w:cs="Times New Roman"/>
          <w:noProof/>
        </w:rPr>
        <w:t>,</w:t>
      </w:r>
      <w:r w:rsidRPr="001D13FD">
        <w:rPr>
          <w:rFonts w:ascii="Times New Roman" w:hAnsi="Times New Roman" w:cs="Times New Roman"/>
          <w:noProof/>
        </w:rPr>
        <w:t xml:space="preserve"> Michael J. Hogan and Lawrence J. Whalley.  Aging trajectories of fluid intelligence in late life: The influence of age, practice and childhood IQ on Raven's Progressive Matrices. </w:t>
      </w:r>
      <w:r w:rsidRPr="007C153F">
        <w:rPr>
          <w:rFonts w:ascii="Times New Roman" w:hAnsi="Times New Roman" w:cs="Times New Roman"/>
          <w:noProof/>
        </w:rPr>
        <w:t xml:space="preserve"> </w:t>
      </w:r>
      <w:r w:rsidRPr="00C506F2">
        <w:rPr>
          <w:rFonts w:ascii="Times New Roman" w:hAnsi="Times New Roman" w:cs="Times New Roman"/>
          <w:i/>
          <w:iCs/>
          <w:noProof/>
        </w:rPr>
        <w:t>Intelligence</w:t>
      </w:r>
      <w:r w:rsidRPr="001D13FD">
        <w:rPr>
          <w:rFonts w:ascii="Times New Roman" w:hAnsi="Times New Roman" w:cs="Times New Roman"/>
          <w:noProof/>
        </w:rPr>
        <w:t xml:space="preserve">, 47:194-201, 2014. </w:t>
      </w:r>
    </w:p>
    <w:p w:rsidR="009161A3" w:rsidRPr="001D13FD" w:rsidRDefault="009161A3" w:rsidP="007C153F">
      <w:pPr>
        <w:tabs>
          <w:tab w:val="center" w:pos="4800"/>
          <w:tab w:val="right" w:pos="9500"/>
        </w:tabs>
        <w:ind w:left="284" w:hanging="284"/>
        <w:rPr>
          <w:rFonts w:ascii="Times New Roman" w:hAnsi="Times New Roman" w:cs="Times New Roman"/>
          <w:noProof/>
        </w:rPr>
      </w:pPr>
      <w:r w:rsidRPr="001D13FD">
        <w:rPr>
          <w:rFonts w:ascii="Times New Roman" w:hAnsi="Times New Roman" w:cs="Times New Roman"/>
          <w:noProof/>
        </w:rPr>
        <w:t>Gindo Tampubolon.  Delineating the Third ag</w:t>
      </w:r>
      <w:r w:rsidR="0001390F">
        <w:rPr>
          <w:rFonts w:ascii="Times New Roman" w:hAnsi="Times New Roman" w:cs="Times New Roman"/>
          <w:noProof/>
        </w:rPr>
        <w:t>e: Joint models of older people’</w:t>
      </w:r>
      <w:r w:rsidRPr="001D13FD">
        <w:rPr>
          <w:rFonts w:ascii="Times New Roman" w:hAnsi="Times New Roman" w:cs="Times New Roman"/>
          <w:noProof/>
        </w:rPr>
        <w:t>s quality of life and attrition in Britain 2002-2010.</w:t>
      </w:r>
      <w:r w:rsidRPr="007C153F">
        <w:rPr>
          <w:rFonts w:ascii="Times New Roman" w:hAnsi="Times New Roman" w:cs="Times New Roman"/>
          <w:noProof/>
        </w:rPr>
        <w:t xml:space="preserve"> </w:t>
      </w:r>
      <w:r w:rsidRPr="00C506F2">
        <w:rPr>
          <w:rFonts w:ascii="Times New Roman" w:hAnsi="Times New Roman" w:cs="Times New Roman"/>
          <w:i/>
          <w:iCs/>
          <w:noProof/>
        </w:rPr>
        <w:t>Aging &amp; Mental Health</w:t>
      </w:r>
      <w:r w:rsidRPr="001D13FD">
        <w:rPr>
          <w:rFonts w:ascii="Times New Roman" w:hAnsi="Times New Roman" w:cs="Times New Roman"/>
          <w:noProof/>
        </w:rPr>
        <w:t xml:space="preserve">, </w:t>
      </w:r>
      <w:r w:rsidR="00F661A4">
        <w:rPr>
          <w:rFonts w:ascii="Times New Roman" w:hAnsi="Times New Roman" w:cs="Times New Roman"/>
          <w:noProof/>
        </w:rPr>
        <w:t xml:space="preserve">19(7):576-583, </w:t>
      </w:r>
      <w:r w:rsidRPr="001D13FD">
        <w:rPr>
          <w:rFonts w:ascii="Times New Roman" w:hAnsi="Times New Roman" w:cs="Times New Roman"/>
          <w:noProof/>
        </w:rPr>
        <w:t xml:space="preserve">2015. </w:t>
      </w:r>
    </w:p>
    <w:p w:rsidR="009161A3" w:rsidRPr="001D13FD" w:rsidRDefault="009161A3" w:rsidP="007C153F">
      <w:pPr>
        <w:tabs>
          <w:tab w:val="center" w:pos="4800"/>
          <w:tab w:val="right" w:pos="9500"/>
        </w:tabs>
        <w:jc w:val="both"/>
        <w:rPr>
          <w:rFonts w:ascii="Times New Roman" w:hAnsi="Times New Roman" w:cs="Times New Roman"/>
          <w:noProof/>
        </w:rPr>
      </w:pPr>
    </w:p>
    <w:sectPr w:rsidR="009161A3" w:rsidRPr="001D13FD" w:rsidSect="009161A3">
      <w:footerReference w:type="default" r:id="rId2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F3A" w:rsidRDefault="00307F3A" w:rsidP="009161A3">
      <w:r>
        <w:separator/>
      </w:r>
    </w:p>
  </w:endnote>
  <w:endnote w:type="continuationSeparator" w:id="0">
    <w:p w:rsidR="00307F3A" w:rsidRDefault="00307F3A">
      <w:pPr>
        <w:rPr>
          <w:rFonts w:ascii="Times New Roman" w:hAnsi="Times New Roman" w:cs="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1001769"/>
      <w:docPartObj>
        <w:docPartGallery w:val="Page Numbers (Bottom of Page)"/>
        <w:docPartUnique/>
      </w:docPartObj>
    </w:sdtPr>
    <w:sdtEndPr>
      <w:rPr>
        <w:rFonts w:ascii="Times New Roman" w:hAnsi="Times New Roman" w:cs="Times New Roman"/>
        <w:noProof/>
      </w:rPr>
    </w:sdtEndPr>
    <w:sdtContent>
      <w:p w:rsidR="001D7677" w:rsidRDefault="001D7677">
        <w:pPr>
          <w:pStyle w:val="Footer"/>
          <w:jc w:val="center"/>
        </w:pPr>
        <w:r w:rsidRPr="001D7677">
          <w:rPr>
            <w:rFonts w:ascii="Times New Roman" w:hAnsi="Times New Roman" w:cs="Times New Roman"/>
          </w:rPr>
          <w:fldChar w:fldCharType="begin"/>
        </w:r>
        <w:r w:rsidRPr="001D7677">
          <w:rPr>
            <w:rFonts w:ascii="Times New Roman" w:hAnsi="Times New Roman" w:cs="Times New Roman"/>
          </w:rPr>
          <w:instrText xml:space="preserve"> PAGE   \* MERGEFORMAT </w:instrText>
        </w:r>
        <w:r w:rsidRPr="001D7677">
          <w:rPr>
            <w:rFonts w:ascii="Times New Roman" w:hAnsi="Times New Roman" w:cs="Times New Roman"/>
          </w:rPr>
          <w:fldChar w:fldCharType="separate"/>
        </w:r>
        <w:r w:rsidR="00641C6B">
          <w:rPr>
            <w:rFonts w:ascii="Times New Roman" w:hAnsi="Times New Roman" w:cs="Times New Roman"/>
            <w:noProof/>
          </w:rPr>
          <w:t>1</w:t>
        </w:r>
        <w:r w:rsidRPr="001D7677">
          <w:rPr>
            <w:rFonts w:ascii="Times New Roman" w:hAnsi="Times New Roman" w:cs="Times New Roman"/>
            <w:noProof/>
          </w:rPr>
          <w:fldChar w:fldCharType="end"/>
        </w:r>
      </w:p>
    </w:sdtContent>
  </w:sdt>
  <w:p w:rsidR="001D7677" w:rsidRDefault="001D76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F3A" w:rsidRDefault="00307F3A" w:rsidP="009161A3">
      <w:r>
        <w:separator/>
      </w:r>
    </w:p>
  </w:footnote>
  <w:footnote w:type="continuationSeparator" w:id="0">
    <w:p w:rsidR="00307F3A" w:rsidRDefault="00307F3A" w:rsidP="009161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161A3"/>
    <w:rsid w:val="0001390F"/>
    <w:rsid w:val="001274BC"/>
    <w:rsid w:val="001D13FD"/>
    <w:rsid w:val="001D7677"/>
    <w:rsid w:val="002E4396"/>
    <w:rsid w:val="00307F3A"/>
    <w:rsid w:val="00410A20"/>
    <w:rsid w:val="00455DC7"/>
    <w:rsid w:val="00460FED"/>
    <w:rsid w:val="00480392"/>
    <w:rsid w:val="004F2100"/>
    <w:rsid w:val="004F52B9"/>
    <w:rsid w:val="00557D07"/>
    <w:rsid w:val="005A4358"/>
    <w:rsid w:val="005B62EC"/>
    <w:rsid w:val="00641C6B"/>
    <w:rsid w:val="0069566F"/>
    <w:rsid w:val="007C153F"/>
    <w:rsid w:val="009161A3"/>
    <w:rsid w:val="009C7C9D"/>
    <w:rsid w:val="00A80C7A"/>
    <w:rsid w:val="00B215DE"/>
    <w:rsid w:val="00B31A8D"/>
    <w:rsid w:val="00BD671A"/>
    <w:rsid w:val="00C506F2"/>
    <w:rsid w:val="00C763E0"/>
    <w:rsid w:val="00C87D20"/>
    <w:rsid w:val="00D20CF1"/>
    <w:rsid w:val="00F260DE"/>
    <w:rsid w:val="00F661A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Calibri" w:hAnsi="Calibri" w:cs="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4358"/>
    <w:rPr>
      <w:rFonts w:ascii="Tahoma" w:hAnsi="Tahoma" w:cs="Tahoma"/>
      <w:sz w:val="16"/>
      <w:szCs w:val="16"/>
    </w:rPr>
  </w:style>
  <w:style w:type="character" w:customStyle="1" w:styleId="BalloonTextChar">
    <w:name w:val="Balloon Text Char"/>
    <w:basedOn w:val="DefaultParagraphFont"/>
    <w:link w:val="BalloonText"/>
    <w:uiPriority w:val="99"/>
    <w:semiHidden/>
    <w:rsid w:val="005A4358"/>
    <w:rPr>
      <w:rFonts w:ascii="Tahoma" w:hAnsi="Tahoma" w:cs="Tahoma"/>
      <w:sz w:val="16"/>
      <w:szCs w:val="16"/>
    </w:rPr>
  </w:style>
  <w:style w:type="paragraph" w:styleId="Header">
    <w:name w:val="header"/>
    <w:basedOn w:val="Normal"/>
    <w:link w:val="HeaderChar"/>
    <w:uiPriority w:val="99"/>
    <w:unhideWhenUsed/>
    <w:rsid w:val="001D7677"/>
    <w:pPr>
      <w:tabs>
        <w:tab w:val="center" w:pos="4513"/>
        <w:tab w:val="right" w:pos="9026"/>
      </w:tabs>
    </w:pPr>
  </w:style>
  <w:style w:type="character" w:customStyle="1" w:styleId="HeaderChar">
    <w:name w:val="Header Char"/>
    <w:basedOn w:val="DefaultParagraphFont"/>
    <w:link w:val="Header"/>
    <w:uiPriority w:val="99"/>
    <w:rsid w:val="001D7677"/>
    <w:rPr>
      <w:rFonts w:ascii="Calibri" w:hAnsi="Calibri" w:cs="Calibri"/>
      <w:sz w:val="24"/>
      <w:szCs w:val="24"/>
    </w:rPr>
  </w:style>
  <w:style w:type="paragraph" w:styleId="Footer">
    <w:name w:val="footer"/>
    <w:basedOn w:val="Normal"/>
    <w:link w:val="FooterChar"/>
    <w:uiPriority w:val="99"/>
    <w:unhideWhenUsed/>
    <w:rsid w:val="001D7677"/>
    <w:pPr>
      <w:tabs>
        <w:tab w:val="center" w:pos="4513"/>
        <w:tab w:val="right" w:pos="9026"/>
      </w:tabs>
    </w:pPr>
  </w:style>
  <w:style w:type="character" w:customStyle="1" w:styleId="FooterChar">
    <w:name w:val="Footer Char"/>
    <w:basedOn w:val="DefaultParagraphFont"/>
    <w:link w:val="Footer"/>
    <w:uiPriority w:val="99"/>
    <w:rsid w:val="001D7677"/>
    <w:rPr>
      <w:rFonts w:ascii="Calibri" w:hAnsi="Calibri" w:cs="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3" Type="http://schemas.microsoft.com/office/2007/relationships/stylesWithEffects" Target="stylesWithEffect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0A5FA-97B5-483B-899A-156852674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Pages>
  <Words>889</Words>
  <Characters>5072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5950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Gindo Tampubolon</dc:creator>
  <cp:lastModifiedBy>Gindo Tampubolon</cp:lastModifiedBy>
  <cp:revision>23</cp:revision>
  <dcterms:created xsi:type="dcterms:W3CDTF">2015-11-20T13:15:00Z</dcterms:created>
  <dcterms:modified xsi:type="dcterms:W3CDTF">2015-12-04T10:39:00Z</dcterms:modified>
</cp:coreProperties>
</file>