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25"/>
        <w:tblW w:w="9885" w:type="dxa"/>
        <w:tblCellMar>
          <w:left w:w="0" w:type="dxa"/>
          <w:right w:w="0" w:type="dxa"/>
        </w:tblCellMar>
        <w:tblLook w:val="04A0"/>
      </w:tblPr>
      <w:tblGrid>
        <w:gridCol w:w="5362"/>
        <w:gridCol w:w="844"/>
        <w:gridCol w:w="1375"/>
        <w:gridCol w:w="850"/>
        <w:gridCol w:w="1382"/>
        <w:gridCol w:w="72"/>
      </w:tblGrid>
      <w:tr w:rsidR="00A35309" w:rsidRPr="00023936" w:rsidTr="008853B4">
        <w:trPr>
          <w:trHeight w:val="20"/>
        </w:trPr>
        <w:tc>
          <w:tcPr>
            <w:tcW w:w="5362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</w:p>
        </w:tc>
        <w:tc>
          <w:tcPr>
            <w:tcW w:w="22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Positive clusters</w:t>
            </w:r>
          </w:p>
        </w:tc>
        <w:tc>
          <w:tcPr>
            <w:tcW w:w="23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Negative clusters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rPr>
                <w:b/>
                <w:bCs/>
              </w:rPr>
              <w:t>Cluster participants included in analysis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1341*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569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</w:pP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>
              <w:tab/>
            </w:r>
            <w:r w:rsidRPr="00023936">
              <w:t>&lt;15 years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291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</w:pP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131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</w:pP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572B6D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15–35 years</w:t>
            </w:r>
          </w:p>
        </w:tc>
        <w:tc>
          <w:tcPr>
            <w:tcW w:w="844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572B6D" w:rsidRDefault="00A35309" w:rsidP="008853B4">
            <w:pPr>
              <w:spacing w:after="0" w:line="240" w:lineRule="auto"/>
            </w:pPr>
            <w:r w:rsidRPr="00023936">
              <w:t>309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</w:pP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572B6D" w:rsidRDefault="00A35309" w:rsidP="008853B4">
            <w:pPr>
              <w:spacing w:after="0" w:line="240" w:lineRule="auto"/>
            </w:pPr>
            <w:r w:rsidRPr="00023936">
              <w:t>136</w:t>
            </w:r>
          </w:p>
        </w:tc>
        <w:tc>
          <w:tcPr>
            <w:tcW w:w="1382" w:type="dxa"/>
            <w:tcBorders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</w:pP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>
              <w:tab/>
            </w:r>
            <w:r w:rsidRPr="00023936">
              <w:t>&gt;35 years</w:t>
            </w:r>
          </w:p>
        </w:tc>
        <w:tc>
          <w:tcPr>
            <w:tcW w:w="844" w:type="dxa"/>
            <w:tcBorders>
              <w:left w:val="nil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  <w:r w:rsidRPr="00023936">
              <w:t>735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  <w:r w:rsidRPr="00023936">
              <w:t>302</w:t>
            </w:r>
          </w:p>
        </w:tc>
        <w:tc>
          <w:tcPr>
            <w:tcW w:w="1382" w:type="dxa"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35309" w:rsidRPr="00023936" w:rsidRDefault="00A35309" w:rsidP="008853B4">
            <w:pPr>
              <w:spacing w:after="0" w:line="240" w:lineRule="auto"/>
            </w:pP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top w:val="single" w:sz="8" w:space="0" w:color="000000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rPr>
                <w:b/>
                <w:bCs/>
              </w:rPr>
              <w:t>Symptomatic DENV infection during 2-week follow up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7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  <w:r w:rsidRPr="00023936">
              <w:rPr>
                <w:b/>
                <w:bCs/>
              </w:rPr>
              <w:t>0.52%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2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 xml:space="preserve">0.35% 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&lt;15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2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0.69%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1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0.76%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>
              <w:tab/>
            </w:r>
            <w:r w:rsidRPr="00023936">
              <w:t>15–35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5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1.6%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1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0.74%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>
              <w:tab/>
            </w:r>
            <w:r w:rsidRPr="00023936">
              <w:t>&gt;35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0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0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0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0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Default="00A35309" w:rsidP="008853B4">
            <w:pPr>
              <w:spacing w:after="0" w:line="240" w:lineRule="auto"/>
              <w:ind w:left="630" w:hanging="630"/>
            </w:pPr>
            <w:r w:rsidRPr="00023936">
              <w:rPr>
                <w:b/>
                <w:bCs/>
              </w:rPr>
              <w:t>Asymptomatic DENV infection during 2-week follow up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75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  <w:r w:rsidRPr="00023936">
              <w:rPr>
                <w:b/>
                <w:bCs/>
              </w:rPr>
              <w:t>5.6%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30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5.3%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&lt;15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13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4.5%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9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 xml:space="preserve">6.9% 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15–35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19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6.1%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7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5.1%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top w:val="nil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ab/>
              <w:t>&gt;35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42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5.7%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13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4.3%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rPr>
                <w:b/>
                <w:bCs/>
              </w:rPr>
              <w:t>Recent DENV infection at baseline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159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rPr>
                <w:b/>
                <w:bCs/>
              </w:rPr>
              <w:t>11.9%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29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5.1%</w:t>
            </w:r>
            <w:r w:rsidRPr="00023936">
              <w:t xml:space="preserve"> 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&lt;15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35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12.0%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7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5.3%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15–35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36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11.7%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8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5.9%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ab/>
              <w:t>&gt;35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87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11.8%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14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>4.6%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rPr>
                <w:b/>
                <w:bCs/>
              </w:rPr>
              <w:t>No DENV infection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875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rPr>
                <w:b/>
                <w:bCs/>
              </w:rPr>
              <w:t>65.3%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411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72.2%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&lt;15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217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74.6%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107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81.7%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15–35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196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  <w:rPr>
                <w:b/>
                <w:bCs/>
              </w:rPr>
            </w:pPr>
            <w:r w:rsidRPr="00023936">
              <w:t>63.4%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88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63.8%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ab/>
              <w:t>&gt;35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458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  <w:r w:rsidRPr="00023936">
              <w:t>62.3%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216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71.5%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rPr>
                <w:b/>
                <w:bCs/>
              </w:rPr>
              <w:t>Unclassifiable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225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  <w:r w:rsidRPr="00023936">
              <w:rPr>
                <w:b/>
                <w:bCs/>
              </w:rPr>
              <w:t>16.8%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98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rPr>
                <w:b/>
                <w:bCs/>
              </w:rPr>
              <w:t>17.2%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&lt;15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24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  <w:r w:rsidRPr="00023936">
              <w:t>8.3%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7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5.3%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>
              <w:tab/>
            </w:r>
            <w:r w:rsidRPr="00023936">
              <w:t>15–35 years</w:t>
            </w:r>
          </w:p>
        </w:tc>
        <w:tc>
          <w:tcPr>
            <w:tcW w:w="8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53</w:t>
            </w:r>
          </w:p>
        </w:tc>
        <w:tc>
          <w:tcPr>
            <w:tcW w:w="13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  <w:r w:rsidRPr="00023936">
              <w:t>17.2%</w:t>
            </w:r>
          </w:p>
        </w:tc>
        <w:tc>
          <w:tcPr>
            <w:tcW w:w="8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32</w:t>
            </w:r>
          </w:p>
        </w:tc>
        <w:tc>
          <w:tcPr>
            <w:tcW w:w="138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23.5%</w:t>
            </w:r>
          </w:p>
        </w:tc>
      </w:tr>
      <w:tr w:rsidR="00A35309" w:rsidRPr="00023936" w:rsidTr="008853B4">
        <w:trPr>
          <w:gridAfter w:val="1"/>
          <w:wAfter w:w="72" w:type="dxa"/>
          <w:trHeight w:val="20"/>
        </w:trPr>
        <w:tc>
          <w:tcPr>
            <w:tcW w:w="5362" w:type="dxa"/>
            <w:tcBorders>
              <w:left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ind w:left="630" w:hanging="630"/>
            </w:pPr>
            <w:r w:rsidRPr="00023936">
              <w:tab/>
              <w:t>&gt;35 years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148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  <w:rPr>
                <w:b/>
                <w:bCs/>
              </w:rPr>
            </w:pPr>
            <w:r w:rsidRPr="00023936">
              <w:t>20.1%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59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5309" w:rsidRPr="00023936" w:rsidRDefault="00A35309" w:rsidP="008853B4">
            <w:pPr>
              <w:spacing w:after="0" w:line="240" w:lineRule="auto"/>
            </w:pPr>
            <w:r w:rsidRPr="00023936">
              <w:t>19.1%</w:t>
            </w:r>
          </w:p>
        </w:tc>
      </w:tr>
    </w:tbl>
    <w:p w:rsidR="008853B4" w:rsidRDefault="008853B4" w:rsidP="008853B4">
      <w:pPr>
        <w:spacing w:line="240" w:lineRule="auto"/>
      </w:pPr>
      <w:r>
        <w:rPr>
          <w:b/>
        </w:rPr>
        <w:t>Table S2</w:t>
      </w:r>
      <w:r w:rsidRPr="007E1721">
        <w:rPr>
          <w:b/>
        </w:rPr>
        <w:t>:</w:t>
      </w:r>
      <w:r>
        <w:t xml:space="preserve"> DENV infections among case and control cluster participants, stratified by age.</w:t>
      </w:r>
    </w:p>
    <w:p w:rsidR="00951EE2" w:rsidRDefault="00951EE2" w:rsidP="008853B4">
      <w:pPr>
        <w:spacing w:line="240" w:lineRule="auto"/>
      </w:pPr>
    </w:p>
    <w:sectPr w:rsidR="00951EE2" w:rsidSect="00951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inkAnnotations="0"/>
  <w:defaultTabStop w:val="720"/>
  <w:characterSpacingControl w:val="doNotCompress"/>
  <w:compat/>
  <w:rsids>
    <w:rsidRoot w:val="00023936"/>
    <w:rsid w:val="00023936"/>
    <w:rsid w:val="00572B6D"/>
    <w:rsid w:val="008853B4"/>
    <w:rsid w:val="00951EE2"/>
    <w:rsid w:val="00A35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E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Nuffield Department of Clinical Medecine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kanders</dc:creator>
  <cp:lastModifiedBy>kanders</cp:lastModifiedBy>
  <cp:revision>2</cp:revision>
  <dcterms:created xsi:type="dcterms:W3CDTF">2014-09-11T07:48:00Z</dcterms:created>
  <dcterms:modified xsi:type="dcterms:W3CDTF">2014-09-11T08:12:00Z</dcterms:modified>
</cp:coreProperties>
</file>