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EE2" w:rsidRDefault="00D674DB" w:rsidP="00D674DB">
      <w:pPr>
        <w:spacing w:line="480" w:lineRule="auto"/>
      </w:pPr>
      <w:r>
        <w:rPr>
          <w:b/>
        </w:rPr>
        <w:t>Table S1</w:t>
      </w:r>
      <w:r w:rsidRPr="007E1721">
        <w:rPr>
          <w:b/>
        </w:rPr>
        <w:t>:</w:t>
      </w:r>
      <w:r>
        <w:t xml:space="preserve"> Laboratory diagnostic results for index cases</w:t>
      </w:r>
    </w:p>
    <w:tbl>
      <w:tblPr>
        <w:tblW w:w="9420" w:type="dxa"/>
        <w:tblCellMar>
          <w:left w:w="0" w:type="dxa"/>
          <w:right w:w="0" w:type="dxa"/>
        </w:tblCellMar>
        <w:tblLook w:val="04A0"/>
      </w:tblPr>
      <w:tblGrid>
        <w:gridCol w:w="7496"/>
        <w:gridCol w:w="902"/>
        <w:gridCol w:w="1022"/>
      </w:tblGrid>
      <w:tr w:rsidR="00D674DB" w:rsidRPr="00D674DB" w:rsidTr="00D674DB">
        <w:trPr>
          <w:trHeight w:val="577"/>
        </w:trPr>
        <w:tc>
          <w:tcPr>
            <w:tcW w:w="74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rPr>
                <w:b/>
                <w:bCs/>
              </w:rPr>
              <w:t>Laboratory diagnostic results, by index case classification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t>N</w:t>
            </w:r>
          </w:p>
        </w:tc>
        <w:tc>
          <w:tcPr>
            <w:tcW w:w="10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t>(%)</w:t>
            </w:r>
          </w:p>
        </w:tc>
      </w:tr>
      <w:tr w:rsidR="00D674DB" w:rsidRPr="00D674DB" w:rsidTr="00D674DB">
        <w:trPr>
          <w:trHeight w:val="369"/>
        </w:trPr>
        <w:tc>
          <w:tcPr>
            <w:tcW w:w="74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  <w:rPr>
                <w:b/>
              </w:rPr>
            </w:pPr>
            <w:r w:rsidRPr="00D674DB">
              <w:rPr>
                <w:b/>
                <w:i/>
                <w:iCs/>
              </w:rPr>
              <w:t>Dengue index cases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  <w:rPr>
                <w:b/>
              </w:rPr>
            </w:pPr>
            <w:r w:rsidRPr="00D674DB">
              <w:rPr>
                <w:b/>
              </w:rPr>
              <w:t xml:space="preserve">52 </w:t>
            </w:r>
          </w:p>
        </w:tc>
        <w:tc>
          <w:tcPr>
            <w:tcW w:w="10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74DB" w:rsidRPr="00D674DB" w:rsidRDefault="00D674DB" w:rsidP="00D674DB">
            <w:pPr>
              <w:spacing w:after="0" w:line="240" w:lineRule="auto"/>
              <w:rPr>
                <w:b/>
              </w:rPr>
            </w:pPr>
          </w:p>
        </w:tc>
      </w:tr>
      <w:tr w:rsidR="00D674DB" w:rsidRPr="00D674DB" w:rsidTr="00D674DB">
        <w:trPr>
          <w:trHeight w:val="369"/>
        </w:trPr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t xml:space="preserve">PCR-positive &amp; NS1-positive &amp; IgM seroconversion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t>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t xml:space="preserve">48.1 </w:t>
            </w:r>
          </w:p>
        </w:tc>
      </w:tr>
      <w:tr w:rsidR="00D674DB" w:rsidRPr="00D674DB" w:rsidTr="00D674DB">
        <w:trPr>
          <w:trHeight w:val="369"/>
        </w:trPr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t>PCR-positive &amp; NS1-positive only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t>13.5</w:t>
            </w:r>
          </w:p>
        </w:tc>
      </w:tr>
      <w:tr w:rsidR="00D674DB" w:rsidRPr="00D674DB" w:rsidTr="00D674DB">
        <w:trPr>
          <w:trHeight w:val="369"/>
        </w:trPr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t>PCR-positive &amp; IgM seroconversion only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t>9.6</w:t>
            </w:r>
          </w:p>
        </w:tc>
      </w:tr>
      <w:tr w:rsidR="00D674DB" w:rsidRPr="00D674DB" w:rsidTr="00D674DB">
        <w:trPr>
          <w:trHeight w:val="369"/>
        </w:trPr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t>NS1-positive &amp; IgM seroconversion only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t>3.8</w:t>
            </w:r>
          </w:p>
        </w:tc>
      </w:tr>
      <w:tr w:rsidR="00D674DB" w:rsidRPr="00D674DB" w:rsidTr="00D674DB">
        <w:trPr>
          <w:trHeight w:val="369"/>
        </w:trPr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t>PCR-positive only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t>3.8</w:t>
            </w:r>
          </w:p>
        </w:tc>
      </w:tr>
      <w:tr w:rsidR="00D674DB" w:rsidRPr="00D674DB" w:rsidTr="00D674DB">
        <w:trPr>
          <w:trHeight w:val="369"/>
        </w:trPr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t>NS1-positive only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t>5.8</w:t>
            </w:r>
          </w:p>
        </w:tc>
      </w:tr>
      <w:tr w:rsidR="00D674DB" w:rsidRPr="00D674DB" w:rsidTr="00D674DB">
        <w:trPr>
          <w:trHeight w:val="369"/>
        </w:trPr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t>IgM seroconversion only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t>9.6</w:t>
            </w:r>
          </w:p>
        </w:tc>
      </w:tr>
      <w:tr w:rsidR="00D674DB" w:rsidRPr="00D674DB" w:rsidTr="00D674DB">
        <w:trPr>
          <w:trHeight w:val="369"/>
        </w:trPr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t>IgG seroconversion only</w:t>
            </w:r>
            <w:r w:rsidRPr="00D674DB">
              <w:rPr>
                <w:vertAlign w:val="superscript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t>1.9</w:t>
            </w:r>
          </w:p>
        </w:tc>
      </w:tr>
      <w:tr w:rsidR="00D674DB" w:rsidRPr="00D674DB" w:rsidTr="00D674DB">
        <w:trPr>
          <w:trHeight w:val="369"/>
        </w:trPr>
        <w:tc>
          <w:tcPr>
            <w:tcW w:w="74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t>IgM positive in enrolment sample</w:t>
            </w:r>
            <w:r w:rsidRPr="00D674DB">
              <w:rPr>
                <w:vertAlign w:val="superscript"/>
              </w:rPr>
              <w:t>2</w:t>
            </w:r>
            <w:r w:rsidRPr="00D674DB"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t>3.8</w:t>
            </w:r>
          </w:p>
        </w:tc>
      </w:tr>
      <w:tr w:rsidR="00D674DB" w:rsidRPr="00D674DB" w:rsidTr="00D674DB">
        <w:trPr>
          <w:trHeight w:val="369"/>
        </w:trPr>
        <w:tc>
          <w:tcPr>
            <w:tcW w:w="74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  <w:rPr>
                <w:b/>
              </w:rPr>
            </w:pPr>
            <w:r w:rsidRPr="00D674DB">
              <w:rPr>
                <w:b/>
                <w:i/>
                <w:iCs/>
              </w:rPr>
              <w:t>Other febrile illness controls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  <w:rPr>
                <w:b/>
              </w:rPr>
            </w:pPr>
            <w:r w:rsidRPr="00D674DB">
              <w:rPr>
                <w:b/>
              </w:rPr>
              <w:t>19</w:t>
            </w:r>
          </w:p>
        </w:tc>
        <w:tc>
          <w:tcPr>
            <w:tcW w:w="10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74DB" w:rsidRPr="00D674DB" w:rsidRDefault="00D674DB" w:rsidP="00D674DB">
            <w:pPr>
              <w:spacing w:after="0" w:line="240" w:lineRule="auto"/>
              <w:rPr>
                <w:b/>
              </w:rPr>
            </w:pPr>
          </w:p>
        </w:tc>
      </w:tr>
      <w:tr w:rsidR="00D674DB" w:rsidRPr="00D674DB" w:rsidTr="00D674DB">
        <w:trPr>
          <w:trHeight w:val="369"/>
        </w:trPr>
        <w:tc>
          <w:tcPr>
            <w:tcW w:w="74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t xml:space="preserve">Negative PCR &amp; NS1 and no seroconversion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t>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t>100.0</w:t>
            </w:r>
          </w:p>
        </w:tc>
      </w:tr>
      <w:tr w:rsidR="00D674DB" w:rsidRPr="00D674DB" w:rsidTr="00D674DB">
        <w:trPr>
          <w:trHeight w:val="369"/>
        </w:trPr>
        <w:tc>
          <w:tcPr>
            <w:tcW w:w="74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  <w:rPr>
                <w:b/>
              </w:rPr>
            </w:pPr>
            <w:r w:rsidRPr="00D674DB">
              <w:rPr>
                <w:b/>
                <w:i/>
                <w:iCs/>
              </w:rPr>
              <w:t>Unclassifiable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  <w:rPr>
                <w:b/>
              </w:rPr>
            </w:pPr>
            <w:r w:rsidRPr="00D674DB">
              <w:rPr>
                <w:b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74DB" w:rsidRPr="00D674DB" w:rsidRDefault="00D674DB" w:rsidP="00D674DB">
            <w:pPr>
              <w:spacing w:after="0" w:line="240" w:lineRule="auto"/>
              <w:rPr>
                <w:b/>
              </w:rPr>
            </w:pPr>
          </w:p>
        </w:tc>
      </w:tr>
      <w:tr w:rsidR="00D674DB" w:rsidRPr="00D674DB" w:rsidTr="00D674DB">
        <w:trPr>
          <w:trHeight w:val="369"/>
        </w:trPr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t>Negative PCR, NS1 &amp; IgM, but IgG positive in paired samples</w:t>
            </w:r>
            <w:r w:rsidRPr="00D674DB">
              <w:rPr>
                <w:vertAlign w:val="superscript"/>
              </w:rPr>
              <w:t>3</w:t>
            </w:r>
            <w:r w:rsidRPr="00D674DB"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t>50.0</w:t>
            </w:r>
          </w:p>
        </w:tc>
      </w:tr>
      <w:tr w:rsidR="00D674DB" w:rsidRPr="00D674DB" w:rsidTr="00D674DB">
        <w:trPr>
          <w:trHeight w:val="369"/>
        </w:trPr>
        <w:tc>
          <w:tcPr>
            <w:tcW w:w="74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t>Negative PCR, NS1 &amp; IgM/IgG at enrolment; no second sample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00000" w:rsidRPr="00D674DB" w:rsidRDefault="00D674DB" w:rsidP="00D674DB">
            <w:pPr>
              <w:spacing w:after="0" w:line="240" w:lineRule="auto"/>
            </w:pPr>
            <w:r w:rsidRPr="00D674DB">
              <w:t>50.0</w:t>
            </w:r>
          </w:p>
        </w:tc>
      </w:tr>
    </w:tbl>
    <w:p w:rsidR="00D674DB" w:rsidRDefault="00D674DB"/>
    <w:p w:rsidR="000129F2" w:rsidRPr="000129F2" w:rsidRDefault="000129F2" w:rsidP="000129F2">
      <w:r w:rsidRPr="000129F2">
        <w:rPr>
          <w:vertAlign w:val="superscript"/>
        </w:rPr>
        <w:t>1</w:t>
      </w:r>
      <w:r w:rsidRPr="000129F2">
        <w:t xml:space="preserve">IgG seroconversion alone is strictly an acute flavivirus infection, not necessarily dengue. However we included this as a dengue index case because in the presence of a clinical suspicion in the HCMC setting, dengue is the most likely flavivirus. </w:t>
      </w:r>
    </w:p>
    <w:p w:rsidR="000129F2" w:rsidRPr="000129F2" w:rsidRDefault="000129F2" w:rsidP="000129F2">
      <w:r w:rsidRPr="000129F2">
        <w:rPr>
          <w:vertAlign w:val="superscript"/>
        </w:rPr>
        <w:t>2</w:t>
      </w:r>
      <w:r w:rsidRPr="000129F2">
        <w:t>IgM seropositivity at enrolment, in the absence of PCR or NS1 positivity but presence of a clinical suspicion, is classified as presumptive dengue. For the purpose of this analysis we grouped presumptive cases with confirmed cases.</w:t>
      </w:r>
    </w:p>
    <w:p w:rsidR="000129F2" w:rsidRPr="000129F2" w:rsidRDefault="000129F2" w:rsidP="000129F2">
      <w:r w:rsidRPr="000129F2">
        <w:rPr>
          <w:vertAlign w:val="superscript"/>
        </w:rPr>
        <w:t>3</w:t>
      </w:r>
      <w:r w:rsidRPr="000129F2">
        <w:t xml:space="preserve">Indicative of a recent flavivirus infection </w:t>
      </w:r>
    </w:p>
    <w:p w:rsidR="000129F2" w:rsidRDefault="000129F2"/>
    <w:sectPr w:rsidR="000129F2" w:rsidSect="00951E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visionView w:inkAnnotations="0"/>
  <w:defaultTabStop w:val="720"/>
  <w:characterSpacingControl w:val="doNotCompress"/>
  <w:compat/>
  <w:rsids>
    <w:rsidRoot w:val="00D674DB"/>
    <w:rsid w:val="000129F2"/>
    <w:rsid w:val="00951EE2"/>
    <w:rsid w:val="00D67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EE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4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1081</Characters>
  <Application>Microsoft Office Word</Application>
  <DocSecurity>0</DocSecurity>
  <Lines>9</Lines>
  <Paragraphs>2</Paragraphs>
  <ScaleCrop>false</ScaleCrop>
  <Company>Nuffield Department of Clinical Medecine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kanders</dc:creator>
  <cp:lastModifiedBy>kanders</cp:lastModifiedBy>
  <cp:revision>2</cp:revision>
  <dcterms:created xsi:type="dcterms:W3CDTF">2014-09-11T08:12:00Z</dcterms:created>
  <dcterms:modified xsi:type="dcterms:W3CDTF">2014-09-11T08:19:00Z</dcterms:modified>
</cp:coreProperties>
</file>