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08C" w:rsidRPr="0079616D" w:rsidRDefault="008C508C" w:rsidP="00B24020">
      <w:pPr>
        <w:widowControl w:val="0"/>
        <w:autoSpaceDE w:val="0"/>
        <w:autoSpaceDN w:val="0"/>
        <w:adjustRightInd w:val="0"/>
        <w:rPr>
          <w:rFonts w:ascii="Arial" w:eastAsia="SimSun" w:hAnsi="Arial" w:cs="Arial"/>
          <w:color w:val="000000"/>
          <w:szCs w:val="24"/>
          <w:lang w:val="en-CA" w:eastAsia="zh-CN"/>
        </w:rPr>
      </w:pPr>
    </w:p>
    <w:p w:rsidR="008C508C" w:rsidRPr="0079616D" w:rsidRDefault="008C508C" w:rsidP="00B24020">
      <w:pPr>
        <w:widowControl w:val="0"/>
        <w:autoSpaceDE w:val="0"/>
        <w:autoSpaceDN w:val="0"/>
        <w:adjustRightInd w:val="0"/>
        <w:rPr>
          <w:rFonts w:ascii="Arial" w:eastAsia="SimSun" w:hAnsi="Arial" w:cs="Arial"/>
          <w:color w:val="000000"/>
          <w:szCs w:val="24"/>
          <w:lang w:val="en-CA" w:eastAsia="zh-CN"/>
        </w:rPr>
      </w:pPr>
    </w:p>
    <w:p w:rsidR="008C508C" w:rsidRPr="0079616D" w:rsidRDefault="0079616D" w:rsidP="0079616D">
      <w:pPr>
        <w:widowControl w:val="0"/>
        <w:autoSpaceDE w:val="0"/>
        <w:autoSpaceDN w:val="0"/>
        <w:adjustRightInd w:val="0"/>
        <w:jc w:val="center"/>
        <w:rPr>
          <w:rFonts w:ascii="Arial" w:eastAsia="SimSun" w:hAnsi="Arial" w:cs="Arial"/>
          <w:b/>
          <w:color w:val="000000"/>
          <w:szCs w:val="24"/>
          <w:lang w:val="en-CA" w:eastAsia="zh-CN"/>
        </w:rPr>
      </w:pPr>
      <w:r w:rsidRPr="0079616D">
        <w:rPr>
          <w:rFonts w:ascii="Arial" w:hAnsi="Arial" w:cs="Arial"/>
          <w:b/>
          <w:szCs w:val="24"/>
        </w:rPr>
        <w:t>Alternative Language Abstract 2: French</w:t>
      </w:r>
    </w:p>
    <w:p w:rsidR="008C508C" w:rsidRPr="0079616D" w:rsidRDefault="008C508C" w:rsidP="008C508C">
      <w:pPr>
        <w:widowControl w:val="0"/>
        <w:autoSpaceDE w:val="0"/>
        <w:autoSpaceDN w:val="0"/>
        <w:adjustRightInd w:val="0"/>
        <w:outlineLvl w:val="0"/>
        <w:rPr>
          <w:rFonts w:ascii="Arial" w:eastAsia="Times New Roman" w:hAnsi="Arial" w:cs="Arial"/>
          <w:b/>
          <w:szCs w:val="24"/>
        </w:rPr>
      </w:pPr>
      <w:r w:rsidRPr="0079616D">
        <w:rPr>
          <w:rFonts w:ascii="Arial" w:hAnsi="Arial" w:cs="Arial"/>
          <w:b/>
          <w:szCs w:val="24"/>
          <w:lang w:val="en-CA"/>
        </w:rPr>
        <w:t xml:space="preserve">Translation of the abstract </w:t>
      </w:r>
      <w:r w:rsidRPr="0079616D">
        <w:rPr>
          <w:rFonts w:ascii="Arial" w:eastAsia="Times New Roman" w:hAnsi="Arial" w:cs="Arial"/>
          <w:b/>
          <w:szCs w:val="24"/>
        </w:rPr>
        <w:t>Multidrug-resistant pulmonary tuberculosis treatment regimens and patient outcomes: an individual patient data meta-analysis of 9153 patients into French by author J. Robert</w:t>
      </w:r>
    </w:p>
    <w:p w:rsidR="008C508C" w:rsidRPr="0079616D" w:rsidRDefault="008C508C" w:rsidP="008C508C">
      <w:pPr>
        <w:rPr>
          <w:rFonts w:ascii="Arial" w:hAnsi="Arial" w:cs="Arial"/>
          <w:szCs w:val="24"/>
        </w:rPr>
      </w:pPr>
    </w:p>
    <w:p w:rsidR="008C508C" w:rsidRPr="0079616D" w:rsidRDefault="008C508C" w:rsidP="008C508C">
      <w:pPr>
        <w:rPr>
          <w:rFonts w:ascii="Arial" w:hAnsi="Arial" w:cs="Arial"/>
          <w:szCs w:val="24"/>
          <w:lang w:val="fr-CA"/>
        </w:rPr>
      </w:pPr>
      <w:r w:rsidRPr="0079616D">
        <w:rPr>
          <w:rFonts w:ascii="Arial" w:hAnsi="Arial" w:cs="Arial"/>
          <w:szCs w:val="24"/>
          <w:lang w:val="fr-CA"/>
        </w:rPr>
        <w:t xml:space="preserve">Impact des traitements de la tuberculose pulmonaire </w:t>
      </w:r>
      <w:proofErr w:type="spellStart"/>
      <w:r w:rsidRPr="0079616D">
        <w:rPr>
          <w:rFonts w:ascii="Arial" w:hAnsi="Arial" w:cs="Arial"/>
          <w:szCs w:val="24"/>
          <w:lang w:val="fr-CA"/>
        </w:rPr>
        <w:t>multirésistante</w:t>
      </w:r>
      <w:proofErr w:type="spellEnd"/>
      <w:r w:rsidRPr="0079616D">
        <w:rPr>
          <w:rFonts w:ascii="Arial" w:hAnsi="Arial" w:cs="Arial"/>
          <w:szCs w:val="24"/>
          <w:lang w:val="fr-CA"/>
        </w:rPr>
        <w:t xml:space="preserve"> sur le devenir des patients : une méta-analyse sur les données individuelles de 9153 patients</w:t>
      </w:r>
    </w:p>
    <w:p w:rsidR="008C508C" w:rsidRPr="0079616D" w:rsidRDefault="008C508C" w:rsidP="008C508C">
      <w:pPr>
        <w:rPr>
          <w:rFonts w:ascii="Arial" w:hAnsi="Arial" w:cs="Arial"/>
          <w:szCs w:val="24"/>
          <w:lang w:val="fr-CA"/>
        </w:rPr>
      </w:pPr>
    </w:p>
    <w:p w:rsidR="008C508C" w:rsidRPr="0079616D" w:rsidRDefault="008C508C" w:rsidP="008C508C">
      <w:pPr>
        <w:rPr>
          <w:rFonts w:ascii="Arial" w:hAnsi="Arial" w:cs="Arial"/>
          <w:szCs w:val="24"/>
          <w:lang w:val="fr-CA"/>
        </w:rPr>
      </w:pPr>
      <w:r w:rsidRPr="0079616D">
        <w:rPr>
          <w:rFonts w:ascii="Arial" w:hAnsi="Arial" w:cs="Arial"/>
          <w:szCs w:val="24"/>
          <w:lang w:val="fr-CA"/>
        </w:rPr>
        <w:t>Groupe collaboratif pour la méta-analyse sur données individuelles de la tuberculose MDR</w:t>
      </w:r>
    </w:p>
    <w:p w:rsidR="008C508C" w:rsidRPr="0079616D" w:rsidRDefault="008C508C" w:rsidP="008C508C">
      <w:pPr>
        <w:rPr>
          <w:rFonts w:ascii="Arial" w:hAnsi="Arial" w:cs="Arial"/>
          <w:szCs w:val="24"/>
          <w:lang w:val="fr-CA"/>
        </w:rPr>
      </w:pPr>
    </w:p>
    <w:p w:rsidR="008C508C" w:rsidRPr="0079616D" w:rsidRDefault="008C508C" w:rsidP="008C508C">
      <w:pPr>
        <w:rPr>
          <w:rFonts w:ascii="Arial" w:hAnsi="Arial" w:cs="Arial"/>
          <w:szCs w:val="24"/>
          <w:lang w:val="fr-CA"/>
        </w:rPr>
      </w:pPr>
      <w:r w:rsidRPr="0079616D">
        <w:rPr>
          <w:rFonts w:ascii="Arial" w:hAnsi="Arial" w:cs="Arial"/>
          <w:szCs w:val="24"/>
          <w:lang w:val="fr-CA"/>
        </w:rPr>
        <w:t>Résumé</w:t>
      </w:r>
    </w:p>
    <w:p w:rsidR="008C508C" w:rsidRPr="0079616D" w:rsidRDefault="008C508C" w:rsidP="008C508C">
      <w:pPr>
        <w:rPr>
          <w:rFonts w:ascii="Arial" w:hAnsi="Arial" w:cs="Arial"/>
          <w:szCs w:val="24"/>
          <w:lang w:val="fr-CA"/>
        </w:rPr>
      </w:pPr>
    </w:p>
    <w:p w:rsidR="008C508C" w:rsidRPr="0079616D" w:rsidRDefault="008C508C" w:rsidP="008C508C">
      <w:pPr>
        <w:rPr>
          <w:rFonts w:ascii="Arial" w:hAnsi="Arial" w:cs="Arial"/>
          <w:szCs w:val="24"/>
          <w:lang w:val="fr-CA"/>
        </w:rPr>
      </w:pPr>
      <w:r w:rsidRPr="0079616D">
        <w:rPr>
          <w:rFonts w:ascii="Arial" w:hAnsi="Arial" w:cs="Arial"/>
          <w:szCs w:val="24"/>
          <w:lang w:val="fr-CA"/>
        </w:rPr>
        <w:t xml:space="preserve">Contexte. Le traitement de la tuberculose </w:t>
      </w:r>
      <w:proofErr w:type="spellStart"/>
      <w:r w:rsidRPr="0079616D">
        <w:rPr>
          <w:rFonts w:ascii="Arial" w:hAnsi="Arial" w:cs="Arial"/>
          <w:szCs w:val="24"/>
          <w:lang w:val="fr-CA"/>
        </w:rPr>
        <w:t>multirésistante</w:t>
      </w:r>
      <w:proofErr w:type="spellEnd"/>
      <w:r w:rsidRPr="0079616D">
        <w:rPr>
          <w:rFonts w:ascii="Arial" w:hAnsi="Arial" w:cs="Arial"/>
          <w:szCs w:val="24"/>
          <w:lang w:val="fr-CA"/>
        </w:rPr>
        <w:t xml:space="preserve"> (TB MDR) est long, cher, associé à des effets secondaires et a généralement un faible taux de succès. Nous avons conduit une méta-analyse sur données individuelles afin d'évaluer l'impact du nombre et du type d'antibiotiques, ainsi que de la durée du traitement sur le devenir des cas de TB MDR.</w:t>
      </w:r>
    </w:p>
    <w:p w:rsidR="008C508C" w:rsidRPr="0079616D" w:rsidRDefault="008C508C" w:rsidP="008C508C">
      <w:pPr>
        <w:rPr>
          <w:rFonts w:ascii="Arial" w:hAnsi="Arial" w:cs="Arial"/>
          <w:szCs w:val="24"/>
          <w:lang w:val="fr-CA"/>
        </w:rPr>
      </w:pPr>
    </w:p>
    <w:p w:rsidR="008C508C" w:rsidRPr="0079616D" w:rsidRDefault="008C508C" w:rsidP="008C508C">
      <w:pPr>
        <w:rPr>
          <w:rFonts w:ascii="Arial" w:hAnsi="Arial" w:cs="Arial"/>
          <w:szCs w:val="24"/>
          <w:lang w:val="fr-CA"/>
        </w:rPr>
      </w:pPr>
      <w:r w:rsidRPr="0079616D">
        <w:rPr>
          <w:rFonts w:ascii="Arial" w:hAnsi="Arial" w:cs="Arial"/>
          <w:szCs w:val="24"/>
          <w:lang w:val="fr-CA"/>
        </w:rPr>
        <w:t>Méthode. Trois revues systématiques récentes ont été utilisées pour identifier les études qui rapportaient le devenir de cas de TB MDR confirmés par la microbiologie. Les auteurs de ces études ont été contactés afin de recueillir les données individuelles de chaque cas, dont les caractéristiques cliniques, les traitements reçus et le devenir. Un modèle de méta-régression logistique à effets aléatoires a été utilisé pour évaluer la probabilité ajustée (</w:t>
      </w:r>
      <w:proofErr w:type="spellStart"/>
      <w:r w:rsidRPr="0079616D">
        <w:rPr>
          <w:rFonts w:ascii="Arial" w:hAnsi="Arial" w:cs="Arial"/>
          <w:szCs w:val="24"/>
          <w:lang w:val="fr-CA"/>
        </w:rPr>
        <w:t>odds</w:t>
      </w:r>
      <w:proofErr w:type="spellEnd"/>
      <w:r w:rsidRPr="0079616D">
        <w:rPr>
          <w:rFonts w:ascii="Arial" w:hAnsi="Arial" w:cs="Arial"/>
          <w:szCs w:val="24"/>
          <w:lang w:val="fr-CA"/>
        </w:rPr>
        <w:t xml:space="preserve"> ratio ajusté, </w:t>
      </w:r>
      <w:proofErr w:type="spellStart"/>
      <w:r w:rsidRPr="0079616D">
        <w:rPr>
          <w:rFonts w:ascii="Arial" w:hAnsi="Arial" w:cs="Arial"/>
          <w:szCs w:val="24"/>
          <w:lang w:val="fr-CA"/>
        </w:rPr>
        <w:t>ORa</w:t>
      </w:r>
      <w:proofErr w:type="spellEnd"/>
      <w:r w:rsidRPr="0079616D">
        <w:rPr>
          <w:rFonts w:ascii="Arial" w:hAnsi="Arial" w:cs="Arial"/>
          <w:szCs w:val="24"/>
          <w:lang w:val="fr-CA"/>
        </w:rPr>
        <w:t>) de succès thérapeutique.</w:t>
      </w:r>
    </w:p>
    <w:p w:rsidR="008C508C" w:rsidRPr="0079616D" w:rsidRDefault="008C508C" w:rsidP="008C508C">
      <w:pPr>
        <w:rPr>
          <w:rFonts w:ascii="Arial" w:hAnsi="Arial" w:cs="Arial"/>
          <w:szCs w:val="24"/>
          <w:lang w:val="fr-CA"/>
        </w:rPr>
      </w:pPr>
    </w:p>
    <w:p w:rsidR="008C508C" w:rsidRPr="0079616D" w:rsidRDefault="008C508C" w:rsidP="008C508C">
      <w:pPr>
        <w:rPr>
          <w:rFonts w:ascii="Arial" w:hAnsi="Arial" w:cs="Arial"/>
          <w:szCs w:val="24"/>
          <w:lang w:val="fr-CA"/>
        </w:rPr>
      </w:pPr>
      <w:r w:rsidRPr="0079616D">
        <w:rPr>
          <w:rFonts w:ascii="Arial" w:hAnsi="Arial" w:cs="Arial"/>
          <w:szCs w:val="24"/>
          <w:lang w:val="fr-CA"/>
        </w:rPr>
        <w:t>Résultats. Des données sur le traitement et le devenir des malades ont été fournies pour 9153 cas de TB MDR provenant de 32 études observationnelles. Par rapport à l'échec ou la rechute, le succès thérapeutique était associé à l'utilisation des fluoroquinolones de dernière génération (</w:t>
      </w:r>
      <w:proofErr w:type="spellStart"/>
      <w:r w:rsidRPr="0079616D">
        <w:rPr>
          <w:rFonts w:ascii="Arial" w:hAnsi="Arial" w:cs="Arial"/>
          <w:szCs w:val="24"/>
          <w:lang w:val="fr-CA"/>
        </w:rPr>
        <w:t>ORa</w:t>
      </w:r>
      <w:proofErr w:type="spellEnd"/>
      <w:r w:rsidRPr="0079616D">
        <w:rPr>
          <w:rFonts w:ascii="Arial" w:hAnsi="Arial" w:cs="Arial"/>
          <w:szCs w:val="24"/>
          <w:lang w:val="fr-CA"/>
        </w:rPr>
        <w:t>: 2,5 [intervalle de confiance à 95%: 1,1-6,0]), d'</w:t>
      </w:r>
      <w:proofErr w:type="spellStart"/>
      <w:r w:rsidRPr="0079616D">
        <w:rPr>
          <w:rFonts w:ascii="Arial" w:hAnsi="Arial" w:cs="Arial"/>
          <w:szCs w:val="24"/>
          <w:lang w:val="fr-CA"/>
        </w:rPr>
        <w:t>ofloxacine</w:t>
      </w:r>
      <w:proofErr w:type="spellEnd"/>
      <w:r w:rsidRPr="0079616D">
        <w:rPr>
          <w:rFonts w:ascii="Arial" w:hAnsi="Arial" w:cs="Arial"/>
          <w:szCs w:val="24"/>
          <w:lang w:val="fr-CA"/>
        </w:rPr>
        <w:t xml:space="preserve"> (</w:t>
      </w:r>
      <w:proofErr w:type="spellStart"/>
      <w:r w:rsidRPr="0079616D">
        <w:rPr>
          <w:rFonts w:ascii="Arial" w:hAnsi="Arial" w:cs="Arial"/>
          <w:szCs w:val="24"/>
          <w:lang w:val="fr-CA"/>
        </w:rPr>
        <w:t>ORa</w:t>
      </w:r>
      <w:proofErr w:type="spellEnd"/>
      <w:r w:rsidRPr="0079616D">
        <w:rPr>
          <w:rFonts w:ascii="Arial" w:hAnsi="Arial" w:cs="Arial"/>
          <w:szCs w:val="24"/>
          <w:lang w:val="fr-CA"/>
        </w:rPr>
        <w:t xml:space="preserve">: 2,5 [1,6-3,9]), d'éthionamide ou </w:t>
      </w:r>
      <w:proofErr w:type="spellStart"/>
      <w:r w:rsidRPr="0079616D">
        <w:rPr>
          <w:rFonts w:ascii="Arial" w:hAnsi="Arial" w:cs="Arial"/>
          <w:szCs w:val="24"/>
          <w:lang w:val="fr-CA"/>
        </w:rPr>
        <w:t>protionamide</w:t>
      </w:r>
      <w:proofErr w:type="spellEnd"/>
      <w:r w:rsidRPr="0079616D">
        <w:rPr>
          <w:rFonts w:ascii="Arial" w:hAnsi="Arial" w:cs="Arial"/>
          <w:szCs w:val="24"/>
          <w:lang w:val="fr-CA"/>
        </w:rPr>
        <w:t xml:space="preserve"> (</w:t>
      </w:r>
      <w:proofErr w:type="spellStart"/>
      <w:r w:rsidRPr="0079616D">
        <w:rPr>
          <w:rFonts w:ascii="Arial" w:hAnsi="Arial" w:cs="Arial"/>
          <w:szCs w:val="24"/>
          <w:lang w:val="fr-CA"/>
        </w:rPr>
        <w:t>ORa</w:t>
      </w:r>
      <w:proofErr w:type="spellEnd"/>
      <w:r w:rsidRPr="0079616D">
        <w:rPr>
          <w:rFonts w:ascii="Arial" w:hAnsi="Arial" w:cs="Arial"/>
          <w:szCs w:val="24"/>
          <w:lang w:val="fr-CA"/>
        </w:rPr>
        <w:t>: 1,7 [1,3-2,3]), d'au moins quatre antibiotiques potentiellement actifs dans la phase intensive initiale (</w:t>
      </w:r>
      <w:proofErr w:type="spellStart"/>
      <w:r w:rsidRPr="0079616D">
        <w:rPr>
          <w:rFonts w:ascii="Arial" w:hAnsi="Arial" w:cs="Arial"/>
          <w:szCs w:val="24"/>
          <w:lang w:val="fr-CA"/>
        </w:rPr>
        <w:t>ORa</w:t>
      </w:r>
      <w:proofErr w:type="spellEnd"/>
      <w:r w:rsidRPr="0079616D">
        <w:rPr>
          <w:rFonts w:ascii="Arial" w:hAnsi="Arial" w:cs="Arial"/>
          <w:szCs w:val="24"/>
          <w:lang w:val="fr-CA"/>
        </w:rPr>
        <w:t xml:space="preserve">: 2,3 [1,3-3,9]) et d'au moins trois antibiotiques potentiellement actifs dans la phase d'entretien </w:t>
      </w:r>
      <w:r w:rsidRPr="0079616D">
        <w:rPr>
          <w:rFonts w:ascii="Arial" w:hAnsi="Arial" w:cs="Arial"/>
          <w:szCs w:val="24"/>
          <w:lang w:val="fr-CA"/>
        </w:rPr>
        <w:lastRenderedPageBreak/>
        <w:t>(</w:t>
      </w:r>
      <w:proofErr w:type="spellStart"/>
      <w:r w:rsidRPr="0079616D">
        <w:rPr>
          <w:rFonts w:ascii="Arial" w:hAnsi="Arial" w:cs="Arial"/>
          <w:szCs w:val="24"/>
          <w:lang w:val="fr-CA"/>
        </w:rPr>
        <w:t>ORa</w:t>
      </w:r>
      <w:proofErr w:type="spellEnd"/>
      <w:r w:rsidRPr="0079616D">
        <w:rPr>
          <w:rFonts w:ascii="Arial" w:hAnsi="Arial" w:cs="Arial"/>
          <w:szCs w:val="24"/>
          <w:lang w:val="fr-CA"/>
        </w:rPr>
        <w:t>: 2,7 [1,7-4,1]). Des résultats similaires étaient obtenus lorsque le succès thérapeutique était comparé à un échec, une rechute ou le décès du malade, le succès étant associé à l'utilisation de fluoroquinolones de dernière génération (</w:t>
      </w:r>
      <w:proofErr w:type="spellStart"/>
      <w:r w:rsidRPr="0079616D">
        <w:rPr>
          <w:rFonts w:ascii="Arial" w:hAnsi="Arial" w:cs="Arial"/>
          <w:szCs w:val="24"/>
          <w:lang w:val="fr-CA"/>
        </w:rPr>
        <w:t>ORa</w:t>
      </w:r>
      <w:proofErr w:type="spellEnd"/>
      <w:r w:rsidRPr="0079616D">
        <w:rPr>
          <w:rFonts w:ascii="Arial" w:hAnsi="Arial" w:cs="Arial"/>
          <w:szCs w:val="24"/>
          <w:lang w:val="fr-CA"/>
        </w:rPr>
        <w:t>: 2,7 [1,7-4,3]), d'</w:t>
      </w:r>
      <w:proofErr w:type="spellStart"/>
      <w:r w:rsidRPr="0079616D">
        <w:rPr>
          <w:rFonts w:ascii="Arial" w:hAnsi="Arial" w:cs="Arial"/>
          <w:szCs w:val="24"/>
          <w:lang w:val="fr-CA"/>
        </w:rPr>
        <w:t>ofloxacine</w:t>
      </w:r>
      <w:proofErr w:type="spellEnd"/>
      <w:r w:rsidRPr="0079616D">
        <w:rPr>
          <w:rFonts w:ascii="Arial" w:hAnsi="Arial" w:cs="Arial"/>
          <w:szCs w:val="24"/>
          <w:lang w:val="fr-CA"/>
        </w:rPr>
        <w:t xml:space="preserve"> (</w:t>
      </w:r>
      <w:proofErr w:type="spellStart"/>
      <w:r w:rsidRPr="0079616D">
        <w:rPr>
          <w:rFonts w:ascii="Arial" w:hAnsi="Arial" w:cs="Arial"/>
          <w:szCs w:val="24"/>
          <w:lang w:val="fr-CA"/>
        </w:rPr>
        <w:t>ORa</w:t>
      </w:r>
      <w:proofErr w:type="spellEnd"/>
      <w:r w:rsidRPr="0079616D">
        <w:rPr>
          <w:rFonts w:ascii="Arial" w:hAnsi="Arial" w:cs="Arial"/>
          <w:szCs w:val="24"/>
          <w:lang w:val="fr-CA"/>
        </w:rPr>
        <w:t xml:space="preserve">: 2,3 [1,3-3,8]), d'éthionamide ou de </w:t>
      </w:r>
      <w:proofErr w:type="spellStart"/>
      <w:r w:rsidRPr="0079616D">
        <w:rPr>
          <w:rFonts w:ascii="Arial" w:hAnsi="Arial" w:cs="Arial"/>
          <w:szCs w:val="24"/>
          <w:lang w:val="fr-CA"/>
        </w:rPr>
        <w:t>protionamide</w:t>
      </w:r>
      <w:proofErr w:type="spellEnd"/>
      <w:r w:rsidRPr="0079616D">
        <w:rPr>
          <w:rFonts w:ascii="Arial" w:hAnsi="Arial" w:cs="Arial"/>
          <w:szCs w:val="24"/>
          <w:lang w:val="fr-CA"/>
        </w:rPr>
        <w:t xml:space="preserve"> (</w:t>
      </w:r>
      <w:proofErr w:type="spellStart"/>
      <w:r w:rsidRPr="0079616D">
        <w:rPr>
          <w:rFonts w:ascii="Arial" w:hAnsi="Arial" w:cs="Arial"/>
          <w:szCs w:val="24"/>
          <w:lang w:val="fr-CA"/>
        </w:rPr>
        <w:t>ORa</w:t>
      </w:r>
      <w:proofErr w:type="spellEnd"/>
      <w:r w:rsidRPr="0079616D">
        <w:rPr>
          <w:rFonts w:ascii="Arial" w:hAnsi="Arial" w:cs="Arial"/>
          <w:szCs w:val="24"/>
          <w:lang w:val="fr-CA"/>
        </w:rPr>
        <w:t>: 1,7 [1,4-2,1]), d'au moins quatre antibiotiques potentiellement actifs dans la phase intensive initiale (</w:t>
      </w:r>
      <w:proofErr w:type="spellStart"/>
      <w:r w:rsidRPr="0079616D">
        <w:rPr>
          <w:rFonts w:ascii="Arial" w:hAnsi="Arial" w:cs="Arial"/>
          <w:szCs w:val="24"/>
          <w:lang w:val="fr-CA"/>
        </w:rPr>
        <w:t>ORa</w:t>
      </w:r>
      <w:proofErr w:type="spellEnd"/>
      <w:r w:rsidRPr="0079616D">
        <w:rPr>
          <w:rFonts w:ascii="Arial" w:hAnsi="Arial" w:cs="Arial"/>
          <w:szCs w:val="24"/>
          <w:lang w:val="fr-CA"/>
        </w:rPr>
        <w:t>: 2,7 [1,9-3,9]) et d'au moins trois antibiotiques potentiellement actifs dans la phase d'entretien (</w:t>
      </w:r>
      <w:proofErr w:type="spellStart"/>
      <w:r w:rsidRPr="0079616D">
        <w:rPr>
          <w:rFonts w:ascii="Arial" w:hAnsi="Arial" w:cs="Arial"/>
          <w:szCs w:val="24"/>
          <w:lang w:val="fr-CA"/>
        </w:rPr>
        <w:t>ORa</w:t>
      </w:r>
      <w:proofErr w:type="spellEnd"/>
      <w:r w:rsidRPr="0079616D">
        <w:rPr>
          <w:rFonts w:ascii="Arial" w:hAnsi="Arial" w:cs="Arial"/>
          <w:szCs w:val="24"/>
          <w:lang w:val="fr-CA"/>
        </w:rPr>
        <w:t xml:space="preserve">: 4,5 [3,4-6,0]). </w:t>
      </w:r>
    </w:p>
    <w:p w:rsidR="008C508C" w:rsidRPr="0079616D" w:rsidRDefault="008C508C" w:rsidP="008C508C">
      <w:pPr>
        <w:rPr>
          <w:rFonts w:ascii="Arial" w:hAnsi="Arial" w:cs="Arial"/>
          <w:szCs w:val="24"/>
          <w:lang w:val="fr-CA"/>
        </w:rPr>
      </w:pPr>
    </w:p>
    <w:p w:rsidR="008C508C" w:rsidRPr="0079616D" w:rsidRDefault="008C508C" w:rsidP="008C508C">
      <w:pPr>
        <w:rPr>
          <w:rFonts w:ascii="Arial" w:hAnsi="Arial" w:cs="Arial"/>
          <w:szCs w:val="24"/>
          <w:lang w:val="fr-CA"/>
        </w:rPr>
      </w:pPr>
    </w:p>
    <w:p w:rsidR="008C508C" w:rsidRPr="0079616D" w:rsidRDefault="008C508C" w:rsidP="008C508C">
      <w:pPr>
        <w:rPr>
          <w:rFonts w:ascii="Arial" w:hAnsi="Arial" w:cs="Arial"/>
          <w:szCs w:val="24"/>
          <w:lang w:val="fr-CA"/>
        </w:rPr>
      </w:pPr>
      <w:r w:rsidRPr="0079616D">
        <w:rPr>
          <w:rFonts w:ascii="Arial" w:hAnsi="Arial" w:cs="Arial"/>
          <w:szCs w:val="24"/>
          <w:lang w:val="fr-CA"/>
        </w:rPr>
        <w:t xml:space="preserve">Conclusion. Dans cette méta-analyse sur données individuelles provenant d'études observationnelles, l'utilisation de certaines fluoroquinolones, d'éthionamide ou </w:t>
      </w:r>
      <w:proofErr w:type="spellStart"/>
      <w:r w:rsidRPr="0079616D">
        <w:rPr>
          <w:rFonts w:ascii="Arial" w:hAnsi="Arial" w:cs="Arial"/>
          <w:szCs w:val="24"/>
          <w:lang w:val="fr-CA"/>
        </w:rPr>
        <w:t>prothionamide</w:t>
      </w:r>
      <w:proofErr w:type="spellEnd"/>
      <w:r w:rsidRPr="0079616D">
        <w:rPr>
          <w:rFonts w:ascii="Arial" w:hAnsi="Arial" w:cs="Arial"/>
          <w:szCs w:val="24"/>
          <w:lang w:val="fr-CA"/>
        </w:rPr>
        <w:t xml:space="preserve">, et un traitement par un grand nombre d'antibiotiques actifs étaient associés à un taux de succès thérapeutique et de survie plus élevés. Néanmoins, ces résultats doivent être rapidement confirmés par des essais randomisés afin d'optimiser le traitement des TB MDR. </w:t>
      </w:r>
    </w:p>
    <w:p w:rsidR="008C508C" w:rsidRPr="0079616D" w:rsidRDefault="008C508C" w:rsidP="008C508C">
      <w:pPr>
        <w:rPr>
          <w:rFonts w:ascii="Arial" w:hAnsi="Arial" w:cs="Arial"/>
          <w:szCs w:val="24"/>
          <w:lang w:val="fr-CA"/>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941EEE" w:rsidRPr="0079616D" w:rsidRDefault="00941EEE" w:rsidP="00941EEE">
      <w:pPr>
        <w:widowControl w:val="0"/>
        <w:autoSpaceDE w:val="0"/>
        <w:autoSpaceDN w:val="0"/>
        <w:adjustRightInd w:val="0"/>
        <w:outlineLvl w:val="0"/>
        <w:rPr>
          <w:rFonts w:ascii="Arial" w:hAnsi="Arial" w:cs="Arial"/>
          <w:szCs w:val="24"/>
          <w:lang w:val="fr-FR"/>
        </w:rPr>
      </w:pPr>
    </w:p>
    <w:p w:rsidR="008C508C" w:rsidRPr="0079616D" w:rsidRDefault="008C508C" w:rsidP="0079616D">
      <w:pPr>
        <w:widowControl w:val="0"/>
        <w:autoSpaceDE w:val="0"/>
        <w:autoSpaceDN w:val="0"/>
        <w:adjustRightInd w:val="0"/>
        <w:spacing w:line="276" w:lineRule="auto"/>
        <w:outlineLvl w:val="0"/>
        <w:rPr>
          <w:rFonts w:ascii="SimSun" w:hAnsi="SimSun"/>
          <w:color w:val="000000"/>
          <w:szCs w:val="24"/>
          <w:lang w:val="fr-FR" w:eastAsia="zh-TW"/>
        </w:rPr>
      </w:pPr>
    </w:p>
    <w:sectPr w:rsidR="008C508C" w:rsidRPr="0079616D" w:rsidSect="00053CC0">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C13" w:rsidRDefault="00822C13" w:rsidP="00D14DCB">
      <w:r>
        <w:separator/>
      </w:r>
    </w:p>
  </w:endnote>
  <w:endnote w:type="continuationSeparator" w:id="0">
    <w:p w:rsidR="00822C13" w:rsidRDefault="00822C13" w:rsidP="00D14D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C13" w:rsidRDefault="00822C13" w:rsidP="00D14DCB">
      <w:r>
        <w:separator/>
      </w:r>
    </w:p>
  </w:footnote>
  <w:footnote w:type="continuationSeparator" w:id="0">
    <w:p w:rsidR="00822C13" w:rsidRDefault="00822C13" w:rsidP="00D14D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5699"/>
    <w:rsid w:val="00007A8A"/>
    <w:rsid w:val="0001373F"/>
    <w:rsid w:val="00043673"/>
    <w:rsid w:val="00053CC0"/>
    <w:rsid w:val="001375E3"/>
    <w:rsid w:val="001A5699"/>
    <w:rsid w:val="001B5EC2"/>
    <w:rsid w:val="00221A4C"/>
    <w:rsid w:val="00236C93"/>
    <w:rsid w:val="0025573E"/>
    <w:rsid w:val="002C1B28"/>
    <w:rsid w:val="0034019D"/>
    <w:rsid w:val="003C5CBC"/>
    <w:rsid w:val="00403A8E"/>
    <w:rsid w:val="00425C81"/>
    <w:rsid w:val="004400CC"/>
    <w:rsid w:val="00481EBB"/>
    <w:rsid w:val="004E071F"/>
    <w:rsid w:val="005379D4"/>
    <w:rsid w:val="005906B6"/>
    <w:rsid w:val="005A0981"/>
    <w:rsid w:val="005D4C7F"/>
    <w:rsid w:val="006554F4"/>
    <w:rsid w:val="0069194A"/>
    <w:rsid w:val="006E061C"/>
    <w:rsid w:val="006F33E7"/>
    <w:rsid w:val="0079616D"/>
    <w:rsid w:val="007C3A5F"/>
    <w:rsid w:val="00822C13"/>
    <w:rsid w:val="00841396"/>
    <w:rsid w:val="008665E3"/>
    <w:rsid w:val="008B0046"/>
    <w:rsid w:val="008B0C63"/>
    <w:rsid w:val="008C508C"/>
    <w:rsid w:val="00907CB6"/>
    <w:rsid w:val="00927A29"/>
    <w:rsid w:val="00941EEE"/>
    <w:rsid w:val="009777F9"/>
    <w:rsid w:val="009B7B2B"/>
    <w:rsid w:val="00A10B0F"/>
    <w:rsid w:val="00AC7669"/>
    <w:rsid w:val="00AE1DF8"/>
    <w:rsid w:val="00B24020"/>
    <w:rsid w:val="00B55134"/>
    <w:rsid w:val="00B71882"/>
    <w:rsid w:val="00BC6B1C"/>
    <w:rsid w:val="00BF70ED"/>
    <w:rsid w:val="00C91E36"/>
    <w:rsid w:val="00CD3030"/>
    <w:rsid w:val="00CF44AC"/>
    <w:rsid w:val="00D0408E"/>
    <w:rsid w:val="00D14DCB"/>
    <w:rsid w:val="00D9436E"/>
    <w:rsid w:val="00DA447D"/>
    <w:rsid w:val="00DB1E7D"/>
    <w:rsid w:val="00DE73AD"/>
    <w:rsid w:val="00E16E50"/>
    <w:rsid w:val="00E219C3"/>
    <w:rsid w:val="00E6579C"/>
    <w:rsid w:val="00E76229"/>
    <w:rsid w:val="00F00E95"/>
    <w:rsid w:val="00F812BC"/>
    <w:rsid w:val="00FD012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699"/>
    <w:rPr>
      <w:rFonts w:ascii="Times" w:hAnsi="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3A8E"/>
    <w:rPr>
      <w:rFonts w:ascii="Cambria" w:hAnsi="Cambria"/>
      <w:sz w:val="18"/>
      <w:szCs w:val="18"/>
    </w:rPr>
  </w:style>
  <w:style w:type="character" w:customStyle="1" w:styleId="BalloonTextChar">
    <w:name w:val="Balloon Text Char"/>
    <w:link w:val="BalloonText"/>
    <w:uiPriority w:val="99"/>
    <w:semiHidden/>
    <w:rsid w:val="00403A8E"/>
    <w:rPr>
      <w:rFonts w:ascii="Cambria" w:eastAsia="PMingLiU" w:hAnsi="Cambria" w:cs="Times New Roman"/>
      <w:sz w:val="18"/>
      <w:szCs w:val="18"/>
      <w:lang w:eastAsia="en-CA"/>
    </w:rPr>
  </w:style>
  <w:style w:type="paragraph" w:styleId="Header">
    <w:name w:val="header"/>
    <w:basedOn w:val="Normal"/>
    <w:link w:val="HeaderChar"/>
    <w:uiPriority w:val="99"/>
    <w:unhideWhenUsed/>
    <w:rsid w:val="00D14DCB"/>
    <w:pPr>
      <w:tabs>
        <w:tab w:val="center" w:pos="4153"/>
        <w:tab w:val="right" w:pos="8306"/>
      </w:tabs>
      <w:snapToGrid w:val="0"/>
    </w:pPr>
    <w:rPr>
      <w:sz w:val="20"/>
    </w:rPr>
  </w:style>
  <w:style w:type="character" w:customStyle="1" w:styleId="HeaderChar">
    <w:name w:val="Header Char"/>
    <w:link w:val="Header"/>
    <w:uiPriority w:val="99"/>
    <w:rsid w:val="00D14DCB"/>
    <w:rPr>
      <w:rFonts w:ascii="Times" w:hAnsi="Times"/>
      <w:lang w:eastAsia="en-CA"/>
    </w:rPr>
  </w:style>
  <w:style w:type="paragraph" w:styleId="Footer">
    <w:name w:val="footer"/>
    <w:basedOn w:val="Normal"/>
    <w:link w:val="FooterChar"/>
    <w:uiPriority w:val="99"/>
    <w:unhideWhenUsed/>
    <w:rsid w:val="00D14DCB"/>
    <w:pPr>
      <w:tabs>
        <w:tab w:val="center" w:pos="4153"/>
        <w:tab w:val="right" w:pos="8306"/>
      </w:tabs>
      <w:snapToGrid w:val="0"/>
    </w:pPr>
    <w:rPr>
      <w:sz w:val="20"/>
    </w:rPr>
  </w:style>
  <w:style w:type="character" w:customStyle="1" w:styleId="FooterChar">
    <w:name w:val="Footer Char"/>
    <w:link w:val="Footer"/>
    <w:uiPriority w:val="99"/>
    <w:rsid w:val="00D14DCB"/>
    <w:rPr>
      <w:rFonts w:ascii="Times" w:hAnsi="Times"/>
      <w:lang w:eastAsia="en-CA"/>
    </w:rPr>
  </w:style>
  <w:style w:type="character" w:customStyle="1" w:styleId="st1">
    <w:name w:val="st1"/>
    <w:basedOn w:val="DefaultParagraphFont"/>
    <w:rsid w:val="001375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4304893">
      <w:bodyDiv w:val="1"/>
      <w:marLeft w:val="0"/>
      <w:marRight w:val="0"/>
      <w:marTop w:val="0"/>
      <w:marBottom w:val="0"/>
      <w:divBdr>
        <w:top w:val="none" w:sz="0" w:space="0" w:color="auto"/>
        <w:left w:val="none" w:sz="0" w:space="0" w:color="auto"/>
        <w:bottom w:val="none" w:sz="0" w:space="0" w:color="auto"/>
        <w:right w:val="none" w:sz="0" w:space="0" w:color="auto"/>
      </w:divBdr>
    </w:div>
    <w:div w:id="14295000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2596</Characters>
  <Application>Microsoft Office Word</Application>
  <DocSecurity>0</DocSecurity>
  <Lines>21</Lines>
  <Paragraphs>6</Paragraphs>
  <ScaleCrop>false</ScaleCrop>
  <Company>Microsoft</Company>
  <LinksUpToDate>false</LinksUpToDate>
  <CharactersWithSpaces>3010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Multidrug-resistant pulmonary tuberculosis treatment regimens and patient outcomes: an individual patient data meta-analysis of 9153 patients</dc:title>
  <dc:creator>CHIANG C-Y</dc:creator>
  <cp:lastModifiedBy>ria.choe</cp:lastModifiedBy>
  <cp:revision>3</cp:revision>
  <dcterms:created xsi:type="dcterms:W3CDTF">2012-06-14T13:09:00Z</dcterms:created>
  <dcterms:modified xsi:type="dcterms:W3CDTF">2012-06-14T13:16:00Z</dcterms:modified>
</cp:coreProperties>
</file>